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emf" ContentType="image/x-emf"/>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end"/>
        <w:rPr/>
      </w:pPr>
      <w:r>
        <w:rPr/>
      </w:r>
    </w:p>
    <w:p>
      <w:pPr>
        <w:pStyle w:val="Default"/>
        <w:jc w:val="center"/>
        <w:rPr>
          <w:rFonts w:ascii="Calibri" w:hAnsi="Calibri" w:cs="Calibri"/>
          <w:b/>
          <w:bCs/>
          <w:sz w:val="28"/>
          <w:szCs w:val="28"/>
        </w:rPr>
      </w:pPr>
      <w:r>
        <w:rPr>
          <w:rFonts w:cs="Calibri" w:ascii="Calibri" w:hAnsi="Calibri"/>
          <w:b/>
          <w:bCs/>
          <w:sz w:val="28"/>
          <w:szCs w:val="28"/>
        </w:rPr>
        <w:t>AVVISO PUBBLICO DI MANIFESTAZIONE DI INTERESSE</w:t>
      </w:r>
    </w:p>
    <w:p>
      <w:pPr>
        <w:pStyle w:val="Default"/>
        <w:ind w:start="3540"/>
        <w:jc w:val="center"/>
        <w:rPr>
          <w:rFonts w:ascii="Calibri" w:hAnsi="Calibri" w:cs="Calibri"/>
          <w:sz w:val="28"/>
          <w:szCs w:val="28"/>
        </w:rPr>
      </w:pPr>
      <w:r>
        <w:rPr>
          <w:rFonts w:cs="Calibri" w:ascii="Calibri" w:hAnsi="Calibri"/>
          <w:sz w:val="28"/>
          <w:szCs w:val="28"/>
        </w:rPr>
      </w:r>
    </w:p>
    <w:p>
      <w:pPr>
        <w:pStyle w:val="Default"/>
        <w:jc w:val="center"/>
        <w:rPr>
          <w:rFonts w:ascii="Calibri" w:hAnsi="Calibri" w:cs="Calibri"/>
          <w:b/>
          <w:bCs/>
          <w:sz w:val="28"/>
          <w:szCs w:val="28"/>
        </w:rPr>
      </w:pPr>
      <w:r>
        <w:rPr>
          <w:rFonts w:cs="Calibri" w:ascii="Calibri" w:hAnsi="Calibri"/>
          <w:b/>
          <w:bCs/>
          <w:sz w:val="28"/>
          <w:szCs w:val="28"/>
        </w:rPr>
        <w:t>PER LA RILEVAZIONE DELLA CAPACITÀ RICETTIVA ALBERGHIERA E CENTRI DI ALLENAMENTO E L’INDIVIDUAZIONE DELLE STRUTTURE DA INSERIRE NEL DOSSIER DI CANDIDATURA DI LECCE QUALE "HOST CITY" DEI CAMPIONATI EUROPEI DI CALCIO UEFA EURO 2032</w:t>
      </w:r>
    </w:p>
    <w:p>
      <w:pPr>
        <w:pStyle w:val="Default"/>
        <w:ind w:start="3540"/>
        <w:rPr>
          <w:rFonts w:ascii="Calibri" w:hAnsi="Calibri" w:cs="Calibri"/>
          <w:b/>
          <w:bCs/>
          <w:sz w:val="22"/>
        </w:rPr>
      </w:pPr>
      <w:r>
        <w:rPr>
          <w:rFonts w:cs="Calibri" w:ascii="Calibri" w:hAnsi="Calibri"/>
          <w:b/>
          <w:bCs/>
          <w:sz w:val="22"/>
        </w:rPr>
      </w:r>
    </w:p>
    <w:p>
      <w:pPr>
        <w:pStyle w:val="Default"/>
        <w:rPr>
          <w:rFonts w:ascii="Calibri" w:hAnsi="Calibri" w:cs="Calibri"/>
          <w:i/>
          <w:iCs/>
          <w:sz w:val="22"/>
        </w:rPr>
      </w:pPr>
      <w:r>
        <w:rPr>
          <w:rFonts w:cs="Calibri" w:ascii="Calibri" w:hAnsi="Calibri"/>
          <w:i/>
          <w:iCs/>
          <w:sz w:val="22"/>
        </w:rPr>
      </w:r>
    </w:p>
    <w:p>
      <w:pPr>
        <w:pStyle w:val="Default"/>
        <w:rPr>
          <w:rFonts w:ascii="Calibri" w:hAnsi="Calibri" w:cs="Calibri"/>
          <w:i/>
          <w:iCs/>
          <w:sz w:val="22"/>
        </w:rPr>
      </w:pPr>
      <w:r>
        <w:rPr>
          <w:rFonts w:cs="Calibri" w:ascii="Calibri" w:hAnsi="Calibri"/>
          <w:i/>
          <w:iCs/>
          <w:sz w:val="22"/>
        </w:rPr>
      </w:r>
    </w:p>
    <w:p>
      <w:pPr>
        <w:pStyle w:val="Default"/>
        <w:rPr>
          <w:rFonts w:ascii="Calibri" w:hAnsi="Calibri" w:cs="Calibri"/>
          <w:i/>
          <w:iCs/>
          <w:sz w:val="22"/>
        </w:rPr>
      </w:pPr>
      <w:r>
        <w:rPr>
          <w:rFonts w:cs="Calibri" w:ascii="Calibri" w:hAnsi="Calibri"/>
          <w:i/>
          <w:iCs/>
          <w:sz w:val="22"/>
        </w:rPr>
      </w:r>
    </w:p>
    <w:p>
      <w:pPr>
        <w:pStyle w:val="Default"/>
        <w:spacing w:before="114" w:after="114"/>
        <w:jc w:val="both"/>
        <w:rPr>
          <w:rFonts w:ascii="Calibri" w:hAnsi="Calibri" w:cs="Calibri"/>
          <w:b/>
          <w:bCs/>
          <w:i/>
          <w:iCs/>
        </w:rPr>
      </w:pPr>
      <w:r>
        <w:rPr>
          <w:rFonts w:cs="Calibri" w:ascii="Calibri" w:hAnsi="Calibri"/>
          <w:b/>
          <w:bCs/>
          <w:i/>
          <w:iCs/>
        </w:rPr>
        <w:t>PREMESSA</w:t>
      </w:r>
    </w:p>
    <w:p>
      <w:pPr>
        <w:pStyle w:val="Default"/>
        <w:jc w:val="both"/>
        <w:rPr>
          <w:rFonts w:ascii="Calibri" w:hAnsi="Calibri" w:cs="Calibri"/>
          <w:sz w:val="22"/>
        </w:rPr>
      </w:pPr>
      <w:r>
        <w:rPr>
          <w:rFonts w:cs="Calibri" w:ascii="Calibri" w:hAnsi="Calibri"/>
          <w:i/>
          <w:iCs/>
          <w:sz w:val="22"/>
        </w:rPr>
        <w:t>L'Italia, unitamente alla Turchia, è stata designata Paese ospitante del Campionato Europeo di Calcio UEFA EURO 2032.</w:t>
      </w:r>
    </w:p>
    <w:p>
      <w:pPr>
        <w:pStyle w:val="Default"/>
        <w:jc w:val="both"/>
        <w:rPr>
          <w:rFonts w:ascii="Calibri" w:hAnsi="Calibri" w:cs="Calibri"/>
          <w:sz w:val="22"/>
        </w:rPr>
      </w:pPr>
      <w:r>
        <w:rPr>
          <w:rFonts w:cs="Calibri" w:ascii="Calibri" w:hAnsi="Calibri"/>
          <w:i/>
          <w:iCs/>
          <w:sz w:val="22"/>
        </w:rPr>
        <w:t>La Federazione Italiana Giuoco Calcio (FIGC) ha avviato il processo di selezione delle città italiane candidate a ospitare le gare del torneo, richiedendo alle città interessate la presentazione di apposita documentazione tecnica e di un dossier di candidatura articolato in più sezioni, tra cui la capacità ricettiva della città e centri di allenamento.</w:t>
      </w:r>
    </w:p>
    <w:p>
      <w:pPr>
        <w:pStyle w:val="Default"/>
        <w:jc w:val="both"/>
        <w:rPr>
          <w:rFonts w:ascii="Calibri" w:hAnsi="Calibri" w:cs="Calibri"/>
          <w:sz w:val="22"/>
        </w:rPr>
      </w:pPr>
      <w:r>
        <w:rPr>
          <w:rFonts w:cs="Calibri" w:ascii="Calibri" w:hAnsi="Calibri"/>
          <w:i/>
          <w:iCs/>
          <w:sz w:val="22"/>
        </w:rPr>
        <w:t xml:space="preserve">Il Comune di Lecce, con D.G.C. n. 348 del 18/08/2026, ha manifestato la volontà di candidare la città quale sede ospitante dei Campionati Europei di Calcio UEFA EURO 2032 e avviato la fase istruttoria tecnico-amministrativa necessaria a verificare la fattibilità della candidatura e a predisporre il dossier ufficiale. </w:t>
      </w:r>
      <w:r>
        <w:rPr>
          <w:rFonts w:cs="Calibri" w:ascii="Calibri" w:hAnsi="Calibri"/>
          <w:i/>
          <w:iCs/>
          <w:sz w:val="22"/>
        </w:rPr>
        <w:t>Successivamente con determinazione n. 2563 del 20/08/2026 è stato approvato il presente Avviso Pubblico di Manifestazione di Interesse.</w:t>
      </w:r>
    </w:p>
    <w:p>
      <w:pPr>
        <w:pStyle w:val="Default"/>
        <w:jc w:val="both"/>
        <w:rPr>
          <w:rFonts w:ascii="Calibri" w:hAnsi="Calibri" w:cs="Calibri"/>
          <w:sz w:val="22"/>
        </w:rPr>
      </w:pPr>
      <w:r>
        <w:rPr>
          <w:rFonts w:cs="Calibri" w:ascii="Calibri" w:hAnsi="Calibri"/>
          <w:i/>
          <w:iCs/>
          <w:sz w:val="22"/>
        </w:rPr>
        <w:t>L'organizzazione di un evento di rilevanza internazionale di tale portata costituisce un’opportunità strategica di primario interesse per la valorizzazione del territorio, la promozione del sistema turistico-ricettivo locale e il potenziamento dell'indotto economico dell'intera regione Puglia.</w:t>
      </w:r>
    </w:p>
    <w:p>
      <w:pPr>
        <w:pStyle w:val="Default"/>
        <w:jc w:val="both"/>
        <w:rPr>
          <w:rFonts w:ascii="Calibri" w:hAnsi="Calibri" w:cs="Calibri"/>
          <w:sz w:val="22"/>
        </w:rPr>
      </w:pPr>
      <w:r>
        <w:rPr>
          <w:rFonts w:cs="Calibri" w:ascii="Calibri" w:hAnsi="Calibri"/>
          <w:i/>
          <w:iCs/>
          <w:sz w:val="22"/>
        </w:rPr>
        <w:t>Tra i requisiti essenziali e vincolanti stabiliti dalla UEFA per la validazione della candidatura rientra la disponibilità di un'adeguata e qualificata offerta ricettiva, destinata ad accogliere le delegazioni ufficiali e i team sportivi.</w:t>
      </w:r>
    </w:p>
    <w:p>
      <w:pPr>
        <w:pStyle w:val="Default"/>
        <w:jc w:val="both"/>
        <w:rPr>
          <w:rFonts w:ascii="Calibri" w:hAnsi="Calibri" w:cs="Calibri"/>
          <w:sz w:val="22"/>
        </w:rPr>
      </w:pPr>
      <w:r>
        <w:rPr>
          <w:rFonts w:cs="Calibri" w:ascii="Calibri" w:hAnsi="Calibri"/>
          <w:sz w:val="22"/>
        </w:rPr>
      </w:r>
    </w:p>
    <w:p>
      <w:pPr>
        <w:pStyle w:val="Default"/>
        <w:spacing w:before="114" w:after="114"/>
        <w:jc w:val="both"/>
        <w:rPr>
          <w:rFonts w:ascii="Calibri" w:hAnsi="Calibri" w:eastAsia="Times New Roman"/>
          <w:b/>
          <w:bCs/>
          <w:i/>
          <w:iCs/>
          <w:lang w:eastAsia="it-IT"/>
        </w:rPr>
      </w:pPr>
      <w:r>
        <w:rPr>
          <w:rFonts w:eastAsia="Times New Roman" w:ascii="Calibri" w:hAnsi="Calibri"/>
          <w:b/>
          <w:bCs/>
          <w:i/>
          <w:iCs/>
          <w:lang w:eastAsia="it-IT"/>
        </w:rPr>
      </w:r>
    </w:p>
    <w:p>
      <w:pPr>
        <w:pStyle w:val="Default"/>
        <w:spacing w:before="114" w:after="114"/>
        <w:jc w:val="both"/>
        <w:rPr>
          <w:rFonts w:ascii="Calibri" w:hAnsi="Calibri" w:cs="Calibri"/>
          <w:b/>
          <w:bCs/>
          <w:i/>
          <w:iCs/>
        </w:rPr>
      </w:pPr>
      <w:r>
        <w:rPr>
          <w:rFonts w:eastAsia="Times New Roman" w:ascii="Calibri" w:hAnsi="Calibri"/>
          <w:b/>
          <w:bCs/>
          <w:i/>
          <w:iCs/>
          <w:lang w:eastAsia="it-IT"/>
        </w:rPr>
        <w:t xml:space="preserve">ART. 1 - </w:t>
      </w:r>
      <w:r>
        <w:rPr>
          <w:rFonts w:cs="Calibri" w:ascii="Calibri" w:hAnsi="Calibri"/>
          <w:b/>
          <w:bCs/>
          <w:i/>
          <w:iCs/>
        </w:rPr>
        <w:t>FINALITA’ DELL'AVVISO</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Il presente Avviso ha finalità esclusivamente esplorativa ed è finalizzato a sollecitare manifestazioni di interesse da parte delle strutture ricettive alberghiere e centri di allenamento ubicate nel territorio del Comune di Lecce e nelle aree limitrofe, per la rilevazione della capacità ricettiva alberghiera e centri di allenamento e l’individuazione delle strutture da inserire nel dossier da sottoporre alla FIGC.</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Attraverso la partecipazione al presente avviso, i soggetti gestori/proprietari delle strutture alberghiere manifestano la propria disponibilità preliminare all'inserimento nel piano di accoglienza della candidatura e alla successiva sottoscrizione del Reservation Form. Con tale atto, i partecipanti attestano il possesso delle caratteristiche tecniche richieste, accettano integralmente le condizioni previste da UEFA e si dichiarano disponibili, in caso di assegnazione del torneo, a mettere a disposizione il contingente di camere secondo i periodi, i termini e le modalità stabiliti dai requisiti ufficiali.</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r>
    </w:p>
    <w:p>
      <w:pPr>
        <w:pStyle w:val="Default"/>
        <w:spacing w:before="0" w:after="57"/>
        <w:jc w:val="both"/>
        <w:rPr/>
      </w:pPr>
      <w:r>
        <w:rPr>
          <w:rFonts w:eastAsia="Times New Roman" w:ascii="Calibri" w:hAnsi="Calibri"/>
          <w:b/>
          <w:bCs/>
          <w:i/>
          <w:iCs/>
          <w:lang w:eastAsia="it-IT"/>
        </w:rPr>
        <w:t xml:space="preserve">ART. 2 - </w:t>
      </w:r>
      <w:r>
        <w:rPr>
          <w:rFonts w:cs="Calibri" w:ascii="Calibri" w:hAnsi="Calibri"/>
          <w:b/>
          <w:bCs/>
          <w:i/>
          <w:iCs/>
        </w:rPr>
        <w:t>NATURA DEL PROCEDIMENTO</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Si precisa che il presente Avviso:</w:t>
      </w:r>
    </w:p>
    <w:p>
      <w:pPr>
        <w:pStyle w:val="Default"/>
        <w:numPr>
          <w:ilvl w:val="0"/>
          <w:numId w:val="9"/>
        </w:numPr>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Non costituisce una proposta contrattuale e non vincola in alcun modo l'Amministrazione/Comitato, la FIGC né la UEFA, né alcun altro soggetto/Ente all'acquisto effettivo di servizi ricettivi;</w:t>
      </w:r>
    </w:p>
    <w:p>
      <w:pPr>
        <w:pStyle w:val="Default"/>
        <w:numPr>
          <w:ilvl w:val="0"/>
          <w:numId w:val="9"/>
        </w:numPr>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L’effettiva richiesta di servizi sarà successivamente stabilita da UEFA in accordo con FIGC;</w:t>
      </w:r>
    </w:p>
    <w:p>
      <w:pPr>
        <w:pStyle w:val="Default"/>
        <w:numPr>
          <w:ilvl w:val="0"/>
          <w:numId w:val="9"/>
        </w:numPr>
        <w:spacing w:before="0" w:after="57"/>
        <w:jc w:val="both"/>
        <w:rPr/>
      </w:pPr>
      <w:r>
        <w:rPr>
          <w:rFonts w:eastAsia="Times New Roman" w:ascii="Calibri" w:hAnsi="Calibri"/>
          <w:sz w:val="22"/>
          <w:szCs w:val="22"/>
          <w:lang w:eastAsia="it-IT"/>
        </w:rPr>
        <w:t>Ha la sola funzione di censire la capacità ricettiva (e di centri di allenamento) del territorio e individuare eventuali disponibilità da parte di strutture in possesso degli standard minimi richiesti dal capitolato d'oneri UEFA;</w:t>
      </w:r>
    </w:p>
    <w:p>
      <w:pPr>
        <w:pStyle w:val="Default"/>
        <w:numPr>
          <w:ilvl w:val="0"/>
          <w:numId w:val="9"/>
        </w:numPr>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Non dà luogo a graduatorie di merito con attribuzione di punteggi, né fa sorgere alcun diritto in capo ai soggetti partecipanti in ordine a successive procedure di affidamento o prenotazione diretta.</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r>
    </w:p>
    <w:p>
      <w:pPr>
        <w:pStyle w:val="Normal"/>
        <w:tabs>
          <w:tab w:val="clear" w:pos="708"/>
          <w:tab w:val="left" w:pos="3570" w:leader="none"/>
        </w:tabs>
        <w:spacing w:lineRule="auto" w:line="240" w:before="0" w:after="113"/>
        <w:rPr>
          <w:b/>
          <w:bCs/>
          <w:sz w:val="24"/>
          <w:szCs w:val="24"/>
        </w:rPr>
      </w:pPr>
      <w:r>
        <w:rPr>
          <w:b/>
          <w:bCs/>
          <w:sz w:val="24"/>
          <w:szCs w:val="24"/>
        </w:rPr>
        <w:t>ART. 3 - SOGGETTI AMMESSI A PRESENTARE MANIFESTAZIONE DI INTERESSE</w:t>
      </w:r>
    </w:p>
    <w:p>
      <w:pPr>
        <w:pStyle w:val="Normal"/>
        <w:tabs>
          <w:tab w:val="clear" w:pos="708"/>
          <w:tab w:val="left" w:pos="3570" w:leader="none"/>
        </w:tabs>
        <w:spacing w:lineRule="auto" w:line="240" w:before="0" w:after="57"/>
        <w:jc w:val="both"/>
        <w:rPr/>
      </w:pPr>
      <w:r>
        <w:rPr/>
        <w:t xml:space="preserve">Sono ammessi a presentare la propria manifestazione di interesse i soggetti proprietari, i gestori o i legali rappresentanti (o loro delegati con comprovati poteri di rappresentanza) </w:t>
      </w:r>
      <w:r>
        <w:rPr>
          <w:b/>
          <w:bCs/>
        </w:rPr>
        <w:t>esclusivamente</w:t>
      </w:r>
      <w:r>
        <w:rPr/>
        <w:t xml:space="preserve"> di strutture ricettive alberghiere con classificazione minima di 4 stelle e/o centri di allenamento (come dettagliato nell’Articolo 5 – REQUISITI UEFA RICHIESTI).</w:t>
      </w:r>
    </w:p>
    <w:p>
      <w:pPr>
        <w:pStyle w:val="Normal"/>
        <w:tabs>
          <w:tab w:val="clear" w:pos="708"/>
          <w:tab w:val="left" w:pos="3570" w:leader="none"/>
        </w:tabs>
        <w:spacing w:lineRule="auto" w:line="240" w:before="0" w:after="57"/>
        <w:jc w:val="both"/>
        <w:rPr>
          <w:b/>
          <w:bCs/>
        </w:rPr>
      </w:pPr>
      <w:r>
        <w:rPr>
          <w:b/>
          <w:bCs/>
        </w:rPr>
        <w:t>I soggetti partecipanti devono possedere, alla data di presentazione della domanda, i seguenti requisiti legali:</w:t>
      </w:r>
    </w:p>
    <w:p>
      <w:pPr>
        <w:pStyle w:val="Normal"/>
        <w:numPr>
          <w:ilvl w:val="0"/>
          <w:numId w:val="5"/>
        </w:numPr>
        <w:tabs>
          <w:tab w:val="clear" w:pos="708"/>
          <w:tab w:val="left" w:pos="3570" w:leader="none"/>
        </w:tabs>
        <w:spacing w:lineRule="auto" w:line="240" w:before="0" w:after="57"/>
        <w:jc w:val="both"/>
        <w:rPr/>
      </w:pPr>
      <w:r>
        <w:rPr>
          <w:b/>
          <w:bCs/>
        </w:rPr>
        <w:t>Pieno possesso dei titoli autorizzativi:</w:t>
      </w:r>
      <w:r>
        <w:rPr/>
        <w:t xml:space="preserve"> licenza di esercizio in corso di validità rilasciata dal Comune competente;</w:t>
      </w:r>
    </w:p>
    <w:p>
      <w:pPr>
        <w:pStyle w:val="Normal"/>
        <w:numPr>
          <w:ilvl w:val="0"/>
          <w:numId w:val="5"/>
        </w:numPr>
        <w:tabs>
          <w:tab w:val="clear" w:pos="708"/>
          <w:tab w:val="left" w:pos="3570" w:leader="none"/>
        </w:tabs>
        <w:spacing w:lineRule="auto" w:line="240" w:before="0" w:after="57"/>
        <w:jc w:val="both"/>
        <w:rPr/>
      </w:pPr>
      <w:r>
        <w:rPr>
          <w:b/>
          <w:bCs/>
        </w:rPr>
        <w:t>Iscrizione al Registro delle Imprese:</w:t>
      </w:r>
      <w:r>
        <w:rPr/>
        <w:t xml:space="preserve"> iscrizione presso la C.C.I.A.A. (Camera di Commercio, Industria, Artigianato e Agricoltura) per l'attività oggetto dell'avviso, con stato aziendale "attivo";</w:t>
      </w:r>
    </w:p>
    <w:p>
      <w:pPr>
        <w:pStyle w:val="Normal"/>
        <w:numPr>
          <w:ilvl w:val="0"/>
          <w:numId w:val="5"/>
        </w:numPr>
        <w:tabs>
          <w:tab w:val="clear" w:pos="708"/>
          <w:tab w:val="left" w:pos="3570" w:leader="none"/>
        </w:tabs>
        <w:spacing w:lineRule="auto" w:line="240" w:before="0" w:after="57"/>
        <w:jc w:val="both"/>
        <w:rPr/>
      </w:pPr>
      <w:r>
        <w:rPr>
          <w:b/>
          <w:bCs/>
        </w:rPr>
        <w:t>Assenza di cause di esclusione ex D.Lgs. 36/2023:</w:t>
      </w:r>
      <w:r>
        <w:rPr/>
        <w:t xml:space="preserve"> assenza delle cause di esclusione di cui agli Artt. 94 e 95 del Codice dei Contratti Pubblici (es. assenza di condanne penali passate in giudicato per il legale rappresentante, assenza di violazioni gravi ed definitivamente accertate relative al pagamento di imposte, tasse o contributi previdenziali);</w:t>
      </w:r>
    </w:p>
    <w:p>
      <w:pPr>
        <w:pStyle w:val="Normal"/>
        <w:numPr>
          <w:ilvl w:val="0"/>
          <w:numId w:val="5"/>
        </w:numPr>
        <w:tabs>
          <w:tab w:val="clear" w:pos="708"/>
          <w:tab w:val="left" w:pos="3570" w:leader="none"/>
        </w:tabs>
        <w:spacing w:lineRule="auto" w:line="240" w:before="0" w:after="57"/>
        <w:jc w:val="both"/>
        <w:rPr/>
      </w:pPr>
      <w:r>
        <w:rPr>
          <w:b/>
          <w:bCs/>
        </w:rPr>
        <w:t>Regolarità Contributiva (DURC):</w:t>
      </w:r>
      <w:r>
        <w:rPr/>
        <w:t xml:space="preserve"> essere in regola con i versamenti previdenziali e assistenziali;</w:t>
      </w:r>
    </w:p>
    <w:p>
      <w:pPr>
        <w:pStyle w:val="Normal"/>
        <w:numPr>
          <w:ilvl w:val="0"/>
          <w:numId w:val="5"/>
        </w:numPr>
        <w:tabs>
          <w:tab w:val="clear" w:pos="708"/>
          <w:tab w:val="left" w:pos="3570" w:leader="none"/>
        </w:tabs>
        <w:spacing w:lineRule="auto" w:line="240" w:before="0" w:after="57"/>
        <w:jc w:val="both"/>
        <w:rPr/>
      </w:pPr>
      <w:r>
        <w:rPr>
          <w:b/>
          <w:bCs/>
        </w:rPr>
        <w:t>Conformità edilizia e di sicurezza:</w:t>
      </w:r>
      <w:r>
        <w:rPr/>
        <w:t xml:space="preserve"> rispetto delle norme vigenti in materia di prevenzione incendi (C.P.I. ove previsto), igienico-sanitaria, urbanistica, sicurezza sui luoghi di lavoro (D.Lgs. 81/2008) e accessibilità per persone con disabilità (Legge 104/1992 e D.P.R. 503/1996);</w:t>
      </w:r>
    </w:p>
    <w:p>
      <w:pPr>
        <w:pStyle w:val="Normal"/>
        <w:numPr>
          <w:ilvl w:val="0"/>
          <w:numId w:val="5"/>
        </w:numPr>
        <w:tabs>
          <w:tab w:val="clear" w:pos="708"/>
          <w:tab w:val="left" w:pos="3570" w:leader="none"/>
        </w:tabs>
        <w:spacing w:lineRule="auto" w:line="240" w:before="0" w:after="57"/>
        <w:jc w:val="both"/>
        <w:rPr/>
      </w:pPr>
      <w:r>
        <w:rPr>
          <w:b/>
          <w:bCs/>
        </w:rPr>
        <w:t>Rispetto delle norme sulla sicurezza del lavoro e sulle pari opportunità</w:t>
      </w:r>
      <w:r>
        <w:rPr/>
        <w:t xml:space="preserve"> (L. 68/99 e clausole sociali);</w:t>
      </w:r>
    </w:p>
    <w:p>
      <w:pPr>
        <w:pStyle w:val="Normal"/>
        <w:numPr>
          <w:ilvl w:val="0"/>
          <w:numId w:val="5"/>
        </w:numPr>
        <w:tabs>
          <w:tab w:val="clear" w:pos="708"/>
          <w:tab w:val="left" w:pos="3570" w:leader="none"/>
        </w:tabs>
        <w:spacing w:lineRule="auto" w:line="240" w:before="0" w:after="57"/>
        <w:jc w:val="both"/>
        <w:rPr/>
      </w:pPr>
      <w:r>
        <w:rPr>
          <w:b/>
          <w:bCs/>
        </w:rPr>
        <w:t>Accreditamento Pubblica Sicurezza:</w:t>
      </w:r>
      <w:r>
        <w:rPr/>
        <w:t xml:space="preserve"> regolare iscrizione al portale "Alloggiati Web" della Polizia di Stato ex Art. 109 T.U.L.P.S.</w:t>
      </w:r>
    </w:p>
    <w:p>
      <w:pPr>
        <w:pStyle w:val="Normal"/>
        <w:tabs>
          <w:tab w:val="clear" w:pos="708"/>
          <w:tab w:val="left" w:pos="3570" w:leader="none"/>
        </w:tabs>
        <w:spacing w:lineRule="auto" w:line="240" w:before="0" w:after="57"/>
        <w:jc w:val="both"/>
        <w:rPr>
          <w:b/>
          <w:bCs/>
        </w:rPr>
      </w:pPr>
      <w:r>
        <w:rPr>
          <w:b/>
          <w:bCs/>
        </w:rPr>
      </w:r>
    </w:p>
    <w:p>
      <w:pPr>
        <w:pStyle w:val="Normal"/>
        <w:tabs>
          <w:tab w:val="clear" w:pos="708"/>
          <w:tab w:val="left" w:pos="3570" w:leader="none"/>
        </w:tabs>
        <w:spacing w:lineRule="auto" w:line="240" w:before="0" w:after="113"/>
        <w:rPr>
          <w:b/>
          <w:bCs/>
          <w:sz w:val="24"/>
          <w:szCs w:val="24"/>
        </w:rPr>
      </w:pPr>
      <w:r>
        <w:rPr>
          <w:b/>
          <w:bCs/>
          <w:sz w:val="24"/>
          <w:szCs w:val="24"/>
        </w:rPr>
      </w:r>
    </w:p>
    <w:p>
      <w:pPr>
        <w:pStyle w:val="Normal"/>
        <w:tabs>
          <w:tab w:val="clear" w:pos="708"/>
          <w:tab w:val="left" w:pos="3570" w:leader="none"/>
        </w:tabs>
        <w:spacing w:lineRule="auto" w:line="240" w:before="0" w:after="113"/>
        <w:jc w:val="both"/>
        <w:rPr>
          <w:b/>
          <w:bCs/>
          <w:sz w:val="24"/>
          <w:szCs w:val="24"/>
        </w:rPr>
      </w:pPr>
      <w:r>
        <w:rPr>
          <w:b/>
          <w:bCs/>
          <w:sz w:val="24"/>
          <w:szCs w:val="24"/>
        </w:rPr>
        <w:t>ART. 4 – CATEGORIE UEFA RICHIESTE</w:t>
      </w:r>
    </w:p>
    <w:p>
      <w:pPr>
        <w:pStyle w:val="Normal"/>
        <w:tabs>
          <w:tab w:val="clear" w:pos="708"/>
          <w:tab w:val="left" w:pos="3570" w:leader="none"/>
        </w:tabs>
        <w:spacing w:lineRule="auto" w:line="240" w:before="0" w:after="113"/>
        <w:jc w:val="both"/>
        <w:rPr/>
      </w:pPr>
      <w:r>
        <w:rPr/>
        <w:t>In aderenza ai requisiti richiesti dalle direttive UEFA per il torneo EURO 2032, e in considerazione della capienza massima dello Stadio Ettore Giardiniero, il quale potrà ospitare solo le fasi a girone del Torneo, per la città di Lecce è richiesta la disponibilità e l’individuazione delle seguenti strutture e tipologie ricettive o di allenamento:</w:t>
      </w:r>
    </w:p>
    <w:p>
      <w:pPr>
        <w:pStyle w:val="Normal"/>
        <w:numPr>
          <w:ilvl w:val="0"/>
          <w:numId w:val="7"/>
        </w:numPr>
        <w:tabs>
          <w:tab w:val="clear" w:pos="708"/>
          <w:tab w:val="left" w:pos="3570" w:leader="none"/>
        </w:tabs>
        <w:spacing w:lineRule="auto" w:line="240" w:before="0" w:after="113"/>
        <w:jc w:val="both"/>
        <w:rPr/>
      </w:pPr>
      <w:r>
        <w:rPr>
          <w:b/>
          <w:bCs/>
        </w:rPr>
        <w:t>n. 1 Mini Headquarters Hotel:</w:t>
      </w:r>
      <w:r>
        <w:rPr/>
        <w:t xml:space="preserve"> destinato ad accogliere la delegazione e lo staff ufficiale UEFA. Per tale struttura, una quota di camere dovrà essere garantita potenzialmente per l'intera durata del torneo (indicativamente dal 1° giugno 2032 al 15 luglio 2032), mentre la restante parte sarà richiesta esclusivamente nei giorni a ridosso delle partite;</w:t>
      </w:r>
    </w:p>
    <w:p>
      <w:pPr>
        <w:pStyle w:val="Normal"/>
        <w:numPr>
          <w:ilvl w:val="0"/>
          <w:numId w:val="7"/>
        </w:numPr>
        <w:tabs>
          <w:tab w:val="clear" w:pos="708"/>
          <w:tab w:val="left" w:pos="3570" w:leader="none"/>
        </w:tabs>
        <w:spacing w:lineRule="auto" w:line="240" w:before="0" w:after="113"/>
        <w:jc w:val="both"/>
        <w:rPr/>
      </w:pPr>
      <w:r>
        <w:rPr>
          <w:b/>
          <w:bCs/>
        </w:rPr>
        <w:t>n. 2 Team Transfer Hotel:</w:t>
      </w:r>
      <w:r>
        <w:rPr/>
        <w:t xml:space="preserve"> dedicati all'ospitalità delle nazionali di calcio e dei relativi staff nei giorni antecedenti e successivi alle partite ospitate presso lo stadio cittadino;</w:t>
      </w:r>
    </w:p>
    <w:p>
      <w:pPr>
        <w:pStyle w:val="Normal"/>
        <w:numPr>
          <w:ilvl w:val="0"/>
          <w:numId w:val="7"/>
        </w:numPr>
        <w:tabs>
          <w:tab w:val="clear" w:pos="708"/>
          <w:tab w:val="left" w:pos="3570" w:leader="none"/>
        </w:tabs>
        <w:spacing w:lineRule="auto" w:line="240" w:before="0" w:after="113"/>
        <w:jc w:val="both"/>
        <w:rPr/>
      </w:pPr>
      <w:r>
        <w:rPr>
          <w:b/>
          <w:bCs/>
        </w:rPr>
        <w:t>n. 1 (o preferibilmente 2) Team Transfer Training Center:</w:t>
      </w:r>
      <w:r>
        <w:rPr/>
        <w:t xml:space="preserve"> centri sportivi (strutture ricettive abbinate a campi da allenamento) idonei a consentire la preparazione e le sedi di allenamento pre-partita per le squadre sfidanti.</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t>Prendendo atto della conformazione e delle specificità del tessuto ricettivo e alberghiero locale — storicamente caratterizzato da una presenza limitata di strutture a 5 stelle e da capienze medio-piccole — l'Amministrazione prevede forme di flessibilità organizzativa al fine di soddisfare appieno gli standard UEFA.</w:t>
      </w:r>
    </w:p>
    <w:p>
      <w:pPr>
        <w:pStyle w:val="Normal"/>
        <w:tabs>
          <w:tab w:val="clear" w:pos="708"/>
          <w:tab w:val="left" w:pos="3570" w:leader="none"/>
        </w:tabs>
        <w:spacing w:lineRule="auto" w:line="240" w:before="0" w:after="113"/>
        <w:jc w:val="both"/>
        <w:rPr/>
      </w:pPr>
      <w:r>
        <w:rPr/>
        <w:t>A tal fine verranno considerate ammissibili:</w:t>
      </w:r>
    </w:p>
    <w:p>
      <w:pPr>
        <w:pStyle w:val="Normal"/>
        <w:numPr>
          <w:ilvl w:val="0"/>
          <w:numId w:val="6"/>
        </w:numPr>
        <w:tabs>
          <w:tab w:val="clear" w:pos="708"/>
          <w:tab w:val="left" w:pos="3570" w:leader="none"/>
        </w:tabs>
        <w:spacing w:lineRule="auto" w:line="240" w:before="0" w:after="113"/>
        <w:jc w:val="both"/>
        <w:rPr/>
      </w:pPr>
      <w:r>
        <w:rPr>
          <w:b/>
          <w:bCs/>
        </w:rPr>
        <w:t>Candidature congiunte e aggregate:</w:t>
      </w:r>
      <w:r>
        <w:rPr/>
        <w:t xml:space="preserve"> sarà consentita la presentazione di candidature congiunte da parte di più strutture ricettive, sia mediante la costituzione di Associazioni Temporanee di Scopo (ATS), sia tramite forme di collaborazione informale o consorziate, purché le strutture siano prossime le une alle altre;</w:t>
      </w:r>
    </w:p>
    <w:p>
      <w:pPr>
        <w:pStyle w:val="Normal"/>
        <w:numPr>
          <w:ilvl w:val="0"/>
          <w:numId w:val="6"/>
        </w:numPr>
        <w:tabs>
          <w:tab w:val="clear" w:pos="708"/>
          <w:tab w:val="left" w:pos="3570" w:leader="none"/>
        </w:tabs>
        <w:spacing w:lineRule="auto" w:line="240" w:before="0" w:after="113"/>
        <w:jc w:val="both"/>
        <w:rPr/>
      </w:pPr>
      <w:r>
        <w:rPr>
          <w:b/>
          <w:bCs/>
        </w:rPr>
        <w:t>Proposte di strutture abbinate:</w:t>
      </w:r>
      <w:r>
        <w:rPr/>
        <w:t xml:space="preserve"> l'Amministrazione si riserva la facoltà di sottoporre la candidatura di due hotel congiunti qualora tali strutture, considerate unitariamente, soddisfino integralmente tutti i requisiti tecnici e logistici richiesti dal successivo articolo e rappresentino, contestualmente, una soluzione funzionale, logistica e qualitativa preferibile rispetto alla candidatura di una singola struttura di dimensioni maggiori.</w:t>
      </w:r>
    </w:p>
    <w:p>
      <w:pPr>
        <w:pStyle w:val="Normal"/>
        <w:tabs>
          <w:tab w:val="clear" w:pos="708"/>
          <w:tab w:val="left" w:pos="3570" w:leader="none"/>
        </w:tabs>
        <w:spacing w:lineRule="auto" w:line="240" w:before="0" w:after="113"/>
        <w:jc w:val="both"/>
        <w:rPr>
          <w:b/>
          <w:bCs/>
          <w:sz w:val="24"/>
          <w:szCs w:val="24"/>
        </w:rPr>
      </w:pPr>
      <w:r>
        <w:rPr>
          <w:b/>
          <w:bCs/>
          <w:sz w:val="24"/>
          <w:szCs w:val="24"/>
        </w:rPr>
      </w:r>
    </w:p>
    <w:p>
      <w:pPr>
        <w:pStyle w:val="Normal"/>
        <w:tabs>
          <w:tab w:val="clear" w:pos="708"/>
          <w:tab w:val="left" w:pos="3570" w:leader="none"/>
        </w:tabs>
        <w:spacing w:lineRule="auto" w:line="240" w:before="0" w:after="113"/>
        <w:jc w:val="both"/>
        <w:rPr>
          <w:b/>
          <w:bCs/>
          <w:sz w:val="24"/>
          <w:szCs w:val="24"/>
        </w:rPr>
      </w:pPr>
      <w:r>
        <w:rPr>
          <w:b/>
          <w:bCs/>
          <w:sz w:val="24"/>
          <w:szCs w:val="24"/>
        </w:rPr>
        <w:t>ART. 5 - REQUISITI UEFA RICHIESTI</w:t>
      </w:r>
    </w:p>
    <w:p>
      <w:pPr>
        <w:pStyle w:val="Normal"/>
        <w:tabs>
          <w:tab w:val="clear" w:pos="708"/>
          <w:tab w:val="left" w:pos="3570" w:leader="none"/>
        </w:tabs>
        <w:spacing w:lineRule="auto" w:line="240" w:before="0" w:after="113"/>
        <w:jc w:val="both"/>
        <w:rPr/>
      </w:pPr>
      <w:r>
        <w:rPr/>
        <w:t>Di seguito sono elencati i requisiti richiesti da UEFA secondo il “</w:t>
      </w:r>
      <w:r>
        <w:rPr>
          <w:i/>
          <w:iCs/>
        </w:rPr>
        <w:t>EURO 2028 and 2032 Tournament Requirements - Big Book</w:t>
      </w:r>
      <w:r>
        <w:rPr/>
        <w:t>”, distinti per categoria. Per la dichiarazione del numero di stelle delle strutture si fa riferimento al sistema di classificazione alberghiera della Hotelstars Union.</w:t>
      </w:r>
    </w:p>
    <w:p>
      <w:pPr>
        <w:pStyle w:val="Normal"/>
        <w:tabs>
          <w:tab w:val="clear" w:pos="708"/>
          <w:tab w:val="left" w:pos="3570" w:leader="none"/>
        </w:tabs>
        <w:spacing w:lineRule="auto" w:line="240" w:before="0" w:after="113"/>
        <w:jc w:val="both"/>
        <w:rPr/>
      </w:pPr>
      <w:r>
        <w:rPr/>
        <w:t>Il dettaglio del sistema di classificazione è riportato nel catalogo dei criteri 2020-2025 della Hotelstars Union.</w:t>
      </w:r>
    </w:p>
    <w:p>
      <w:pPr>
        <w:pStyle w:val="Normal"/>
        <w:tabs>
          <w:tab w:val="clear" w:pos="708"/>
          <w:tab w:val="left" w:pos="3570" w:leader="none"/>
        </w:tabs>
        <w:spacing w:lineRule="auto" w:line="240" w:before="0" w:after="113"/>
        <w:jc w:val="both"/>
        <w:rPr>
          <w:b/>
          <w:bCs/>
        </w:rPr>
      </w:pPr>
      <w:r>
        <w:rPr>
          <w:b/>
          <w:bCs/>
        </w:rPr>
        <w:t>Mini headquartes hotels</w:t>
      </w:r>
    </w:p>
    <w:p>
      <w:pPr>
        <w:pStyle w:val="Normal"/>
        <w:numPr>
          <w:ilvl w:val="0"/>
          <w:numId w:val="6"/>
        </w:numPr>
        <w:tabs>
          <w:tab w:val="clear" w:pos="708"/>
          <w:tab w:val="left" w:pos="3570" w:leader="none"/>
        </w:tabs>
        <w:spacing w:lineRule="auto" w:line="240" w:before="0" w:after="113"/>
        <w:jc w:val="both"/>
        <w:rPr/>
      </w:pPr>
      <w:r>
        <w:rPr/>
        <w:t>Hotel a 5 stelle;</w:t>
      </w:r>
    </w:p>
    <w:p>
      <w:pPr>
        <w:pStyle w:val="Normal"/>
        <w:numPr>
          <w:ilvl w:val="0"/>
          <w:numId w:val="6"/>
        </w:numPr>
        <w:tabs>
          <w:tab w:val="clear" w:pos="708"/>
          <w:tab w:val="left" w:pos="3570" w:leader="none"/>
        </w:tabs>
        <w:spacing w:lineRule="auto" w:line="240" w:before="0" w:after="113"/>
        <w:jc w:val="both"/>
        <w:rPr/>
      </w:pPr>
      <w:r>
        <w:rPr/>
        <w:t>20 camere da letto potenzialmente per l'intera durata di UEFA EURO 2032, a partire da 7 giorni prima della prima partita fino a un giorno dopo la partita finale, ove richiesto (periodo di riferimento indicativo massimo 01 giugno – 15 luglio 2032);</w:t>
      </w:r>
    </w:p>
    <w:p>
      <w:pPr>
        <w:pStyle w:val="Normal"/>
        <w:numPr>
          <w:ilvl w:val="0"/>
          <w:numId w:val="6"/>
        </w:numPr>
        <w:tabs>
          <w:tab w:val="clear" w:pos="708"/>
          <w:tab w:val="left" w:pos="3570" w:leader="none"/>
        </w:tabs>
        <w:spacing w:lineRule="auto" w:line="240" w:before="0" w:after="113"/>
        <w:jc w:val="both"/>
        <w:rPr/>
      </w:pPr>
      <w:r>
        <w:rPr/>
        <w:t>40 camere aggiuntive il giorno prima e il giorno stesso di ciascuna partita;</w:t>
      </w:r>
    </w:p>
    <w:p>
      <w:pPr>
        <w:pStyle w:val="Normal"/>
        <w:numPr>
          <w:ilvl w:val="0"/>
          <w:numId w:val="6"/>
        </w:numPr>
        <w:tabs>
          <w:tab w:val="clear" w:pos="708"/>
          <w:tab w:val="left" w:pos="3570" w:leader="none"/>
        </w:tabs>
        <w:spacing w:lineRule="auto" w:line="240" w:before="0" w:after="113"/>
        <w:jc w:val="both"/>
        <w:rPr/>
      </w:pPr>
      <w:r>
        <w:rPr/>
        <w:t>Varietà di suite e tipologie di camere;</w:t>
      </w:r>
    </w:p>
    <w:p>
      <w:pPr>
        <w:pStyle w:val="Normal"/>
        <w:numPr>
          <w:ilvl w:val="0"/>
          <w:numId w:val="6"/>
        </w:numPr>
        <w:tabs>
          <w:tab w:val="clear" w:pos="708"/>
          <w:tab w:val="left" w:pos="3570" w:leader="none"/>
        </w:tabs>
        <w:spacing w:lineRule="auto" w:line="240" w:before="0" w:after="113"/>
        <w:jc w:val="both"/>
        <w:rPr/>
      </w:pPr>
      <w:r>
        <w:rPr/>
        <w:t>Parcheggio per un minimo di 5 autovetture;</w:t>
      </w:r>
    </w:p>
    <w:p>
      <w:pPr>
        <w:pStyle w:val="Normal"/>
        <w:numPr>
          <w:ilvl w:val="0"/>
          <w:numId w:val="6"/>
        </w:numPr>
        <w:tabs>
          <w:tab w:val="clear" w:pos="708"/>
          <w:tab w:val="left" w:pos="3570" w:leader="none"/>
        </w:tabs>
        <w:spacing w:lineRule="auto" w:line="240" w:before="0" w:after="113"/>
        <w:jc w:val="both"/>
        <w:rPr/>
      </w:pPr>
      <w:r>
        <w:rPr/>
        <w:t>Agevole punto di salita/discesa passeggeri per gli autobus;</w:t>
      </w:r>
    </w:p>
    <w:p>
      <w:pPr>
        <w:pStyle w:val="Normal"/>
        <w:numPr>
          <w:ilvl w:val="0"/>
          <w:numId w:val="6"/>
        </w:numPr>
        <w:tabs>
          <w:tab w:val="clear" w:pos="708"/>
          <w:tab w:val="left" w:pos="3570" w:leader="none"/>
        </w:tabs>
        <w:spacing w:lineRule="auto" w:line="240" w:before="0" w:after="113"/>
        <w:jc w:val="both"/>
        <w:rPr/>
      </w:pPr>
      <w:r>
        <w:rPr/>
        <w:t>1 sala riunioni (uso ufficio) da circa 80 mq;</w:t>
      </w:r>
    </w:p>
    <w:p>
      <w:pPr>
        <w:pStyle w:val="Normal"/>
        <w:numPr>
          <w:ilvl w:val="0"/>
          <w:numId w:val="6"/>
        </w:numPr>
        <w:tabs>
          <w:tab w:val="clear" w:pos="708"/>
          <w:tab w:val="left" w:pos="3570" w:leader="none"/>
        </w:tabs>
        <w:spacing w:lineRule="auto" w:line="240" w:before="0" w:after="113"/>
        <w:jc w:val="both"/>
        <w:rPr/>
      </w:pPr>
      <w:r>
        <w:rPr/>
        <w:t>1 sala riunioni da circa 50 mq;</w:t>
      </w:r>
    </w:p>
    <w:p>
      <w:pPr>
        <w:pStyle w:val="Normal"/>
        <w:numPr>
          <w:ilvl w:val="0"/>
          <w:numId w:val="6"/>
        </w:numPr>
        <w:tabs>
          <w:tab w:val="clear" w:pos="708"/>
          <w:tab w:val="left" w:pos="3570" w:leader="none"/>
        </w:tabs>
        <w:spacing w:lineRule="auto" w:line="240" w:before="0" w:after="113"/>
        <w:jc w:val="both"/>
        <w:rPr/>
      </w:pPr>
      <w:r>
        <w:rPr/>
        <w:t>1 sala riunioni da circa 150 mq;</w:t>
      </w:r>
    </w:p>
    <w:p>
      <w:pPr>
        <w:pStyle w:val="Normal"/>
        <w:numPr>
          <w:ilvl w:val="0"/>
          <w:numId w:val="6"/>
        </w:numPr>
        <w:tabs>
          <w:tab w:val="clear" w:pos="708"/>
          <w:tab w:val="left" w:pos="3570" w:leader="none"/>
        </w:tabs>
        <w:spacing w:lineRule="auto" w:line="240" w:before="0" w:after="113"/>
        <w:jc w:val="both"/>
        <w:rPr/>
      </w:pPr>
      <w:r>
        <w:rPr/>
        <w:t>Spazio privato (sala riunioni o ristorante) per pasti e allestimento a buffet per 60 ospiti;</w:t>
      </w:r>
    </w:p>
    <w:p>
      <w:pPr>
        <w:pStyle w:val="Normal"/>
        <w:tabs>
          <w:tab w:val="clear" w:pos="708"/>
          <w:tab w:val="left" w:pos="3570" w:leader="none"/>
        </w:tabs>
        <w:spacing w:lineRule="auto" w:line="240" w:before="0" w:after="113"/>
        <w:jc w:val="both"/>
        <w:rPr>
          <w:b/>
          <w:bCs/>
        </w:rPr>
      </w:pPr>
      <w:r>
        <w:rPr>
          <w:b/>
          <w:bCs/>
        </w:rPr>
        <w:t>Requisiti opzionali di eccellenza:</w:t>
      </w:r>
    </w:p>
    <w:p>
      <w:pPr>
        <w:pStyle w:val="Normal"/>
        <w:numPr>
          <w:ilvl w:val="0"/>
          <w:numId w:val="6"/>
        </w:numPr>
        <w:tabs>
          <w:tab w:val="clear" w:pos="708"/>
          <w:tab w:val="left" w:pos="3570" w:leader="none"/>
        </w:tabs>
        <w:spacing w:lineRule="auto" w:line="240" w:before="0" w:after="113"/>
        <w:jc w:val="both"/>
        <w:rPr/>
      </w:pPr>
      <w:r>
        <w:rPr/>
        <w:t>Connessione internet/Wi-Fi gratuita nelle camere da letto, nelle sale riunioni e nelle aree comuni;</w:t>
      </w:r>
    </w:p>
    <w:p>
      <w:pPr>
        <w:pStyle w:val="Normal"/>
        <w:numPr>
          <w:ilvl w:val="0"/>
          <w:numId w:val="6"/>
        </w:numPr>
        <w:tabs>
          <w:tab w:val="clear" w:pos="708"/>
          <w:tab w:val="left" w:pos="3570" w:leader="none"/>
        </w:tabs>
        <w:spacing w:lineRule="auto" w:line="240" w:before="0" w:after="113"/>
        <w:jc w:val="both"/>
        <w:rPr/>
      </w:pPr>
      <w:r>
        <w:rPr/>
        <w:t>Accesso a strutture per lo svago e l'intrattenimento (ristoranti, parchi, strutture per il tempo libero);</w:t>
      </w:r>
    </w:p>
    <w:p>
      <w:pPr>
        <w:pStyle w:val="Normal"/>
        <w:numPr>
          <w:ilvl w:val="0"/>
          <w:numId w:val="6"/>
        </w:numPr>
        <w:tabs>
          <w:tab w:val="clear" w:pos="708"/>
          <w:tab w:val="left" w:pos="3570" w:leader="none"/>
        </w:tabs>
        <w:spacing w:lineRule="auto" w:line="240" w:before="0" w:after="113"/>
        <w:jc w:val="both"/>
        <w:rPr/>
      </w:pPr>
      <w:r>
        <w:rPr/>
        <w:t>Ubicazione in una zona d'interesse.</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b/>
          <w:bCs/>
        </w:rPr>
      </w:pPr>
      <w:r>
        <w:rPr>
          <w:b/>
          <w:bCs/>
        </w:rPr>
        <w:t>Team transfer hotels</w:t>
      </w:r>
    </w:p>
    <w:p>
      <w:pPr>
        <w:pStyle w:val="Normal"/>
        <w:numPr>
          <w:ilvl w:val="0"/>
          <w:numId w:val="6"/>
        </w:numPr>
        <w:tabs>
          <w:tab w:val="clear" w:pos="708"/>
          <w:tab w:val="left" w:pos="3570" w:leader="none"/>
        </w:tabs>
        <w:spacing w:lineRule="auto" w:line="240" w:before="0" w:after="113"/>
        <w:jc w:val="both"/>
        <w:rPr/>
      </w:pPr>
      <w:r>
        <w:rPr/>
        <w:t>Hotel da 4 a 5 stelle con un elevato livello di comfort, privacy e sicurezza;</w:t>
      </w:r>
    </w:p>
    <w:p>
      <w:pPr>
        <w:pStyle w:val="Normal"/>
        <w:numPr>
          <w:ilvl w:val="0"/>
          <w:numId w:val="6"/>
        </w:numPr>
        <w:tabs>
          <w:tab w:val="clear" w:pos="708"/>
          <w:tab w:val="left" w:pos="3570" w:leader="none"/>
        </w:tabs>
        <w:spacing w:lineRule="auto" w:line="240" w:before="0" w:after="113"/>
        <w:jc w:val="both"/>
        <w:rPr/>
      </w:pPr>
      <w:r>
        <w:rPr/>
        <w:t>Entro 30 minuti di autobus dallo Stadio Ettore Giardiniero – Lecce;</w:t>
      </w:r>
    </w:p>
    <w:p>
      <w:pPr>
        <w:pStyle w:val="Normal"/>
        <w:numPr>
          <w:ilvl w:val="0"/>
          <w:numId w:val="6"/>
        </w:numPr>
        <w:tabs>
          <w:tab w:val="clear" w:pos="708"/>
          <w:tab w:val="left" w:pos="3570" w:leader="none"/>
        </w:tabs>
        <w:spacing w:lineRule="auto" w:line="240" w:before="0" w:after="113"/>
        <w:jc w:val="both"/>
        <w:rPr/>
      </w:pPr>
      <w:r>
        <w:rPr/>
        <w:t>Entro 30 minuti di autobus dal centro d'allenamento (Team transfer training center);</w:t>
      </w:r>
    </w:p>
    <w:p>
      <w:pPr>
        <w:pStyle w:val="Normal"/>
        <w:numPr>
          <w:ilvl w:val="0"/>
          <w:numId w:val="6"/>
        </w:numPr>
        <w:tabs>
          <w:tab w:val="clear" w:pos="708"/>
          <w:tab w:val="left" w:pos="3570" w:leader="none"/>
        </w:tabs>
        <w:spacing w:lineRule="auto" w:line="240" w:before="0" w:after="113"/>
        <w:jc w:val="both"/>
        <w:rPr/>
      </w:pPr>
      <w:r>
        <w:rPr/>
        <w:t>Entro 60 minuti di autobus dall’Aeroporto del Salento – Brindisi;</w:t>
      </w:r>
    </w:p>
    <w:p>
      <w:pPr>
        <w:pStyle w:val="Normal"/>
        <w:numPr>
          <w:ilvl w:val="0"/>
          <w:numId w:val="6"/>
        </w:numPr>
        <w:tabs>
          <w:tab w:val="clear" w:pos="708"/>
          <w:tab w:val="left" w:pos="3570" w:leader="none"/>
        </w:tabs>
        <w:spacing w:lineRule="auto" w:line="240" w:before="0" w:after="113"/>
        <w:jc w:val="both"/>
        <w:rPr/>
      </w:pPr>
      <w:r>
        <w:rPr/>
        <w:t>Posizione tranquilla (lontano da autostrade e zone trafficate);</w:t>
      </w:r>
    </w:p>
    <w:p>
      <w:pPr>
        <w:pStyle w:val="Normal"/>
        <w:numPr>
          <w:ilvl w:val="0"/>
          <w:numId w:val="6"/>
        </w:numPr>
        <w:tabs>
          <w:tab w:val="clear" w:pos="708"/>
          <w:tab w:val="left" w:pos="3570" w:leader="none"/>
        </w:tabs>
        <w:spacing w:lineRule="auto" w:line="240" w:before="0" w:after="113"/>
        <w:jc w:val="both"/>
        <w:rPr/>
      </w:pPr>
      <w:r>
        <w:rPr/>
        <w:t>Minimo 70 camere singole (65 per la delegazione della squadra e 5 per UEFA/LOS; di norma le squadre soggiornano presso il transfer hotel per una notte e tornano al loro hotel del campo base subito dopo la partita; alcune squadre potrebbero soggiornare per due notti);</w:t>
      </w:r>
    </w:p>
    <w:p>
      <w:pPr>
        <w:pStyle w:val="Normal"/>
        <w:numPr>
          <w:ilvl w:val="0"/>
          <w:numId w:val="6"/>
        </w:numPr>
        <w:tabs>
          <w:tab w:val="clear" w:pos="708"/>
          <w:tab w:val="left" w:pos="3570" w:leader="none"/>
        </w:tabs>
        <w:spacing w:lineRule="auto" w:line="240" w:before="0" w:after="113"/>
        <w:jc w:val="both"/>
        <w:rPr/>
      </w:pPr>
      <w:r>
        <w:rPr/>
        <w:t>Camere da assegnare in piano/i o ala/ali dell'hotel a uso esclusivo per evitare la commistione con gli altri ospiti dell'hotel;</w:t>
      </w:r>
    </w:p>
    <w:p>
      <w:pPr>
        <w:pStyle w:val="Normal"/>
        <w:numPr>
          <w:ilvl w:val="0"/>
          <w:numId w:val="6"/>
        </w:numPr>
        <w:tabs>
          <w:tab w:val="clear" w:pos="708"/>
          <w:tab w:val="left" w:pos="3570" w:leader="none"/>
        </w:tabs>
        <w:spacing w:lineRule="auto" w:line="240" w:before="0" w:after="113"/>
        <w:jc w:val="both"/>
        <w:rPr/>
      </w:pPr>
      <w:r>
        <w:rPr/>
        <w:t>Tutte le camere dotate di aria condizionata;</w:t>
      </w:r>
    </w:p>
    <w:p>
      <w:pPr>
        <w:pStyle w:val="Normal"/>
        <w:numPr>
          <w:ilvl w:val="0"/>
          <w:numId w:val="6"/>
        </w:numPr>
        <w:tabs>
          <w:tab w:val="clear" w:pos="708"/>
          <w:tab w:val="left" w:pos="3570" w:leader="none"/>
        </w:tabs>
        <w:spacing w:lineRule="auto" w:line="240" w:before="0" w:after="113"/>
        <w:jc w:val="both"/>
        <w:rPr/>
      </w:pPr>
      <w:r>
        <w:rPr/>
        <w:t>Servizio di ristorazione flessibile, con possibilità per gli chef delle squadre nazionali di utilizzare le cucine dell'hotel;</w:t>
      </w:r>
    </w:p>
    <w:p>
      <w:pPr>
        <w:pStyle w:val="Normal"/>
        <w:numPr>
          <w:ilvl w:val="0"/>
          <w:numId w:val="6"/>
        </w:numPr>
        <w:tabs>
          <w:tab w:val="clear" w:pos="708"/>
          <w:tab w:val="left" w:pos="3570" w:leader="none"/>
        </w:tabs>
        <w:spacing w:lineRule="auto" w:line="240" w:before="0" w:after="113"/>
        <w:jc w:val="both"/>
        <w:rPr/>
      </w:pPr>
      <w:r>
        <w:rPr/>
        <w:t>Connessione internet Wi-Fi ad alta velocità (minimo 20 Mbps) nelle camere da letto, nelle sale riunioni e nelle aree comuni;</w:t>
      </w:r>
    </w:p>
    <w:p>
      <w:pPr>
        <w:pStyle w:val="Normal"/>
        <w:numPr>
          <w:ilvl w:val="0"/>
          <w:numId w:val="6"/>
        </w:numPr>
        <w:tabs>
          <w:tab w:val="clear" w:pos="708"/>
          <w:tab w:val="left" w:pos="3570" w:leader="none"/>
        </w:tabs>
        <w:spacing w:lineRule="auto" w:line="240" w:before="0" w:after="113"/>
        <w:jc w:val="both"/>
        <w:rPr/>
      </w:pPr>
      <w:r>
        <w:rPr/>
        <w:t>Tariffe preferenziali per il servizio lavanderia (preferibilmente interno), F&amp;B (ristorazione) e attrezzature per sale riunioni (se non già incluse nel costo della camera);</w:t>
      </w:r>
    </w:p>
    <w:p>
      <w:pPr>
        <w:pStyle w:val="Normal"/>
        <w:numPr>
          <w:ilvl w:val="0"/>
          <w:numId w:val="6"/>
        </w:numPr>
        <w:tabs>
          <w:tab w:val="clear" w:pos="708"/>
          <w:tab w:val="left" w:pos="3570" w:leader="none"/>
        </w:tabs>
        <w:spacing w:lineRule="auto" w:line="240" w:before="0" w:after="113"/>
        <w:jc w:val="both"/>
        <w:rPr/>
      </w:pPr>
      <w:r>
        <w:rPr/>
        <w:t>Strutture per il tempo libero (palestra, piscina, sauna, ecc.) e accesso ad aree di relax all'aperto nelle vicinanze (parchi, ecc.);</w:t>
      </w:r>
    </w:p>
    <w:p>
      <w:pPr>
        <w:pStyle w:val="Normal"/>
        <w:numPr>
          <w:ilvl w:val="0"/>
          <w:numId w:val="6"/>
        </w:numPr>
        <w:tabs>
          <w:tab w:val="clear" w:pos="708"/>
          <w:tab w:val="left" w:pos="3570" w:leader="none"/>
        </w:tabs>
        <w:spacing w:lineRule="auto" w:line="240" w:before="0" w:after="113"/>
        <w:jc w:val="both"/>
        <w:rPr/>
      </w:pPr>
      <w:r>
        <w:rPr/>
        <w:t>Punto di discesa passeggeri per autobus vicino all'ingresso dedicato alla squadra e parcheggio per almeno un autobus da 50 posti, un camion da 3,5 tonnellate e 5 autovetture;</w:t>
      </w:r>
    </w:p>
    <w:p>
      <w:pPr>
        <w:pStyle w:val="Normal"/>
        <w:numPr>
          <w:ilvl w:val="0"/>
          <w:numId w:val="6"/>
        </w:numPr>
        <w:tabs>
          <w:tab w:val="clear" w:pos="708"/>
          <w:tab w:val="left" w:pos="3570" w:leader="none"/>
        </w:tabs>
        <w:spacing w:lineRule="auto" w:line="240" w:before="0" w:after="113"/>
        <w:jc w:val="both"/>
        <w:rPr/>
      </w:pPr>
      <w:r>
        <w:rPr/>
        <w:t>Area relax/lounge arredata con divani, tavoli e sedie per 60 persone (circa 150 mq);</w:t>
      </w:r>
    </w:p>
    <w:p>
      <w:pPr>
        <w:pStyle w:val="Normal"/>
        <w:numPr>
          <w:ilvl w:val="0"/>
          <w:numId w:val="6"/>
        </w:numPr>
        <w:tabs>
          <w:tab w:val="clear" w:pos="708"/>
          <w:tab w:val="left" w:pos="3570" w:leader="none"/>
        </w:tabs>
        <w:spacing w:lineRule="auto" w:line="240" w:before="0" w:after="113"/>
        <w:jc w:val="both"/>
        <w:rPr/>
      </w:pPr>
      <w:r>
        <w:rPr/>
        <w:t>Sala riunioni allestita a teatro ed equipaggiata con TV, lettore DVD, proiettore/schermo e lavagna a fogli mobili per 50 persone (circa 80 mq);</w:t>
      </w:r>
    </w:p>
    <w:p>
      <w:pPr>
        <w:pStyle w:val="Normal"/>
        <w:numPr>
          <w:ilvl w:val="0"/>
          <w:numId w:val="6"/>
        </w:numPr>
        <w:tabs>
          <w:tab w:val="clear" w:pos="708"/>
          <w:tab w:val="left" w:pos="3570" w:leader="none"/>
        </w:tabs>
        <w:spacing w:lineRule="auto" w:line="240" w:before="0" w:after="113"/>
        <w:jc w:val="both"/>
        <w:rPr/>
      </w:pPr>
      <w:r>
        <w:rPr/>
        <w:t>Area pranzo privata per 60 persone (circa 150 mq);</w:t>
      </w:r>
    </w:p>
    <w:p>
      <w:pPr>
        <w:pStyle w:val="Normal"/>
        <w:numPr>
          <w:ilvl w:val="0"/>
          <w:numId w:val="6"/>
        </w:numPr>
        <w:tabs>
          <w:tab w:val="clear" w:pos="708"/>
          <w:tab w:val="left" w:pos="3570" w:leader="none"/>
        </w:tabs>
        <w:spacing w:lineRule="auto" w:line="240" w:before="0" w:after="113"/>
        <w:jc w:val="both"/>
        <w:rPr/>
      </w:pPr>
      <w:r>
        <w:rPr/>
        <w:t>Deposito/Magazzino chiudibile a chiave (circa 40 mq);</w:t>
      </w:r>
    </w:p>
    <w:p>
      <w:pPr>
        <w:pStyle w:val="Normal"/>
        <w:numPr>
          <w:ilvl w:val="0"/>
          <w:numId w:val="6"/>
        </w:numPr>
        <w:tabs>
          <w:tab w:val="clear" w:pos="708"/>
          <w:tab w:val="left" w:pos="3570" w:leader="none"/>
        </w:tabs>
        <w:spacing w:lineRule="auto" w:line="240" w:before="0" w:after="113"/>
        <w:jc w:val="both"/>
        <w:rPr/>
      </w:pPr>
      <w:r>
        <w:rPr/>
        <w:t>Ufficio con 8 postazioni di lavoro (circa 40 mq);</w:t>
      </w:r>
    </w:p>
    <w:p>
      <w:pPr>
        <w:pStyle w:val="Normal"/>
        <w:numPr>
          <w:ilvl w:val="0"/>
          <w:numId w:val="6"/>
        </w:numPr>
        <w:tabs>
          <w:tab w:val="clear" w:pos="708"/>
          <w:tab w:val="left" w:pos="3570" w:leader="none"/>
        </w:tabs>
        <w:spacing w:lineRule="auto" w:line="240" w:before="0" w:after="113"/>
        <w:jc w:val="both"/>
        <w:rPr/>
      </w:pPr>
      <w:r>
        <w:rPr/>
        <w:t>Sala massaggi (circa 30 mq);</w:t>
      </w:r>
    </w:p>
    <w:p>
      <w:pPr>
        <w:pStyle w:val="Normal"/>
        <w:numPr>
          <w:ilvl w:val="0"/>
          <w:numId w:val="6"/>
        </w:numPr>
        <w:tabs>
          <w:tab w:val="clear" w:pos="708"/>
          <w:tab w:val="left" w:pos="3570" w:leader="none"/>
        </w:tabs>
        <w:spacing w:lineRule="auto" w:line="240" w:before="0" w:after="113"/>
        <w:jc w:val="both"/>
        <w:rPr/>
      </w:pPr>
      <w:r>
        <w:rPr/>
        <w:t>Studio medico (circa 30 mq).</w:t>
      </w:r>
    </w:p>
    <w:p>
      <w:pPr>
        <w:pStyle w:val="Normal"/>
        <w:tabs>
          <w:tab w:val="clear" w:pos="708"/>
          <w:tab w:val="left" w:pos="3570" w:leader="none"/>
        </w:tabs>
        <w:spacing w:lineRule="auto" w:line="240" w:before="0" w:after="113"/>
        <w:jc w:val="both"/>
        <w:rPr>
          <w:b/>
          <w:bCs/>
        </w:rPr>
      </w:pPr>
      <w:r>
        <w:rPr>
          <w:b/>
          <w:bCs/>
        </w:rPr>
        <w:t>Requisiti opzionali di eccellenza:</w:t>
      </w:r>
    </w:p>
    <w:p>
      <w:pPr>
        <w:pStyle w:val="Normal"/>
        <w:numPr>
          <w:ilvl w:val="0"/>
          <w:numId w:val="6"/>
        </w:numPr>
        <w:tabs>
          <w:tab w:val="clear" w:pos="708"/>
          <w:tab w:val="left" w:pos="3570" w:leader="none"/>
        </w:tabs>
        <w:spacing w:lineRule="auto" w:line="240" w:before="0" w:after="113"/>
        <w:jc w:val="both"/>
        <w:rPr/>
      </w:pPr>
      <w:r>
        <w:rPr/>
        <w:t>Strutture di dimensioni adeguate (non hotel per congressi) per garantire la privacy delle squadre (idealmente non più grandi di 150 camere);</w:t>
      </w:r>
    </w:p>
    <w:p>
      <w:pPr>
        <w:pStyle w:val="Normal"/>
        <w:numPr>
          <w:ilvl w:val="0"/>
          <w:numId w:val="6"/>
        </w:numPr>
        <w:tabs>
          <w:tab w:val="clear" w:pos="708"/>
          <w:tab w:val="left" w:pos="3570" w:leader="none"/>
        </w:tabs>
        <w:spacing w:lineRule="auto" w:line="240" w:before="0" w:after="113"/>
        <w:jc w:val="both"/>
        <w:rPr/>
      </w:pPr>
      <w:r>
        <w:rPr/>
        <w:t>Idealmente 80 camere da letto da riservare;</w:t>
      </w:r>
    </w:p>
    <w:p>
      <w:pPr>
        <w:pStyle w:val="Normal"/>
        <w:numPr>
          <w:ilvl w:val="0"/>
          <w:numId w:val="6"/>
        </w:numPr>
        <w:tabs>
          <w:tab w:val="clear" w:pos="708"/>
          <w:tab w:val="left" w:pos="3570" w:leader="none"/>
        </w:tabs>
        <w:spacing w:lineRule="auto" w:line="240" w:before="0" w:after="113"/>
        <w:jc w:val="both"/>
        <w:rPr/>
      </w:pPr>
      <w:r>
        <w:rPr/>
        <w:t>Entro 20 minuti di autobus dallo Stadio Ettore Giardiniero – Lecce;</w:t>
      </w:r>
    </w:p>
    <w:p>
      <w:pPr>
        <w:pStyle w:val="Normal"/>
        <w:numPr>
          <w:ilvl w:val="0"/>
          <w:numId w:val="6"/>
        </w:numPr>
        <w:tabs>
          <w:tab w:val="clear" w:pos="708"/>
          <w:tab w:val="left" w:pos="3570" w:leader="none"/>
        </w:tabs>
        <w:spacing w:lineRule="auto" w:line="240" w:before="0" w:after="113"/>
        <w:jc w:val="both"/>
        <w:rPr/>
      </w:pPr>
      <w:r>
        <w:rPr/>
        <w:t>Entro 30 minuti di auto dall’Aeroporto del Salento – Brindisi;</w:t>
      </w:r>
    </w:p>
    <w:p>
      <w:pPr>
        <w:pStyle w:val="Normal"/>
        <w:numPr>
          <w:ilvl w:val="0"/>
          <w:numId w:val="6"/>
        </w:numPr>
        <w:tabs>
          <w:tab w:val="clear" w:pos="708"/>
          <w:tab w:val="left" w:pos="3570" w:leader="none"/>
        </w:tabs>
        <w:spacing w:lineRule="auto" w:line="240" w:before="0" w:after="113"/>
        <w:jc w:val="both"/>
        <w:rPr/>
      </w:pPr>
      <w:r>
        <w:rPr/>
        <w:t>L'infrastruttura alberghiera esistente dovrebbe rendere agevole la messa in sicurezza dell'area;</w:t>
      </w:r>
    </w:p>
    <w:p>
      <w:pPr>
        <w:pStyle w:val="Normal"/>
        <w:numPr>
          <w:ilvl w:val="0"/>
          <w:numId w:val="6"/>
        </w:numPr>
        <w:tabs>
          <w:tab w:val="clear" w:pos="708"/>
          <w:tab w:val="left" w:pos="3570" w:leader="none"/>
        </w:tabs>
        <w:spacing w:lineRule="auto" w:line="240" w:before="0" w:after="113"/>
        <w:jc w:val="both"/>
        <w:rPr/>
      </w:pPr>
      <w:r>
        <w:rPr/>
        <w:t>Spazio per attività multimediali (circa 60 mq);</w:t>
      </w:r>
    </w:p>
    <w:p>
      <w:pPr>
        <w:pStyle w:val="Normal"/>
        <w:numPr>
          <w:ilvl w:val="0"/>
          <w:numId w:val="6"/>
        </w:numPr>
        <w:tabs>
          <w:tab w:val="clear" w:pos="708"/>
          <w:tab w:val="left" w:pos="3570" w:leader="none"/>
        </w:tabs>
        <w:spacing w:lineRule="auto" w:line="240" w:before="0" w:after="113"/>
        <w:jc w:val="both"/>
        <w:rPr/>
      </w:pPr>
      <w:r>
        <w:rPr/>
        <w:t>Area relax/lounge arredata con divani, tavoli e sedie (circa 150 mq).</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b/>
          <w:bCs/>
        </w:rPr>
      </w:pPr>
      <w:r>
        <w:rPr>
          <w:b/>
          <w:bCs/>
        </w:rPr>
        <w:t>Team transfer training centers</w:t>
      </w:r>
    </w:p>
    <w:p>
      <w:pPr>
        <w:pStyle w:val="Normal"/>
        <w:numPr>
          <w:ilvl w:val="0"/>
          <w:numId w:val="6"/>
        </w:numPr>
        <w:tabs>
          <w:tab w:val="clear" w:pos="708"/>
          <w:tab w:val="left" w:pos="3570" w:leader="none"/>
        </w:tabs>
        <w:spacing w:lineRule="auto" w:line="240" w:before="0" w:after="113"/>
        <w:jc w:val="both"/>
        <w:rPr/>
      </w:pPr>
      <w:r>
        <w:rPr/>
        <w:t>Un campo in erba naturale di altissima qualità con dimensioni standard (105 m x 68 m);</w:t>
      </w:r>
    </w:p>
    <w:p>
      <w:pPr>
        <w:pStyle w:val="Normal"/>
        <w:numPr>
          <w:ilvl w:val="0"/>
          <w:numId w:val="6"/>
        </w:numPr>
        <w:tabs>
          <w:tab w:val="clear" w:pos="708"/>
          <w:tab w:val="left" w:pos="3570" w:leader="none"/>
        </w:tabs>
        <w:spacing w:lineRule="auto" w:line="240" w:before="0" w:after="113"/>
        <w:jc w:val="both"/>
        <w:rPr/>
      </w:pPr>
      <w:r>
        <w:rPr/>
        <w:t>Entro 20 minuti di autobus dall'hotel associato alla squadra;</w:t>
      </w:r>
    </w:p>
    <w:p>
      <w:pPr>
        <w:pStyle w:val="Normal"/>
        <w:numPr>
          <w:ilvl w:val="0"/>
          <w:numId w:val="6"/>
        </w:numPr>
        <w:tabs>
          <w:tab w:val="clear" w:pos="708"/>
          <w:tab w:val="left" w:pos="3570" w:leader="none"/>
        </w:tabs>
        <w:spacing w:lineRule="auto" w:line="240" w:before="0" w:after="113"/>
        <w:jc w:val="both"/>
        <w:rPr/>
      </w:pPr>
      <w:r>
        <w:rPr/>
        <w:t>Un'area spogliatoio con infrastrutture moderne dotata di panchine e appendiabiti per 30 persone, 3 bagni, 6 docce, 2 lavandini con specchi e 1 lavello per la pulizia degli scarpini;</w:t>
      </w:r>
    </w:p>
    <w:p>
      <w:pPr>
        <w:pStyle w:val="Normal"/>
        <w:numPr>
          <w:ilvl w:val="0"/>
          <w:numId w:val="6"/>
        </w:numPr>
        <w:tabs>
          <w:tab w:val="clear" w:pos="708"/>
          <w:tab w:val="left" w:pos="3570" w:leader="none"/>
        </w:tabs>
        <w:spacing w:lineRule="auto" w:line="240" w:before="0" w:after="113"/>
        <w:jc w:val="both"/>
        <w:rPr/>
      </w:pPr>
      <w:r>
        <w:rPr/>
        <w:t>Il centro d'allenamento deve essere dotato di un impianto di illuminazione con un'intensità minima di 250 lux per poter ospitare sessioni di allenamento serali;</w:t>
      </w:r>
    </w:p>
    <w:p>
      <w:pPr>
        <w:pStyle w:val="Normal"/>
        <w:numPr>
          <w:ilvl w:val="0"/>
          <w:numId w:val="6"/>
        </w:numPr>
        <w:tabs>
          <w:tab w:val="clear" w:pos="708"/>
          <w:tab w:val="left" w:pos="3570" w:leader="none"/>
        </w:tabs>
        <w:spacing w:lineRule="auto" w:line="240" w:before="0" w:after="113"/>
        <w:jc w:val="both"/>
        <w:rPr/>
      </w:pPr>
      <w:r>
        <w:rPr/>
        <w:t>Un'infermeria / sala per trattamenti medici di almeno 24 mq con relative attrezzature;</w:t>
      </w:r>
    </w:p>
    <w:p>
      <w:pPr>
        <w:pStyle w:val="Normal"/>
        <w:numPr>
          <w:ilvl w:val="0"/>
          <w:numId w:val="6"/>
        </w:numPr>
        <w:tabs>
          <w:tab w:val="clear" w:pos="708"/>
          <w:tab w:val="left" w:pos="3570" w:leader="none"/>
        </w:tabs>
        <w:spacing w:lineRule="auto" w:line="240" w:before="0" w:after="113"/>
        <w:jc w:val="both"/>
        <w:rPr/>
      </w:pPr>
      <w:r>
        <w:rPr/>
        <w:t>Una sala antidoping con le strutture pertinenti;</w:t>
      </w:r>
    </w:p>
    <w:p>
      <w:pPr>
        <w:pStyle w:val="Normal"/>
        <w:numPr>
          <w:ilvl w:val="0"/>
          <w:numId w:val="6"/>
        </w:numPr>
        <w:tabs>
          <w:tab w:val="clear" w:pos="708"/>
          <w:tab w:val="left" w:pos="3570" w:leader="none"/>
        </w:tabs>
        <w:spacing w:lineRule="auto" w:line="240" w:before="0" w:after="113"/>
        <w:jc w:val="both"/>
        <w:rPr/>
      </w:pPr>
      <w:r>
        <w:rPr/>
        <w:t>Uso esclusivo del centro d'allenamento per la rispettiva squadra, di norma, da due settimane prima della prima partita fino a tre giorni dopo l'ultima partita nella rispettiva Città Ospitante;</w:t>
      </w:r>
    </w:p>
    <w:p>
      <w:pPr>
        <w:pStyle w:val="Normal"/>
        <w:numPr>
          <w:ilvl w:val="0"/>
          <w:numId w:val="6"/>
        </w:numPr>
        <w:tabs>
          <w:tab w:val="clear" w:pos="708"/>
          <w:tab w:val="left" w:pos="3570" w:leader="none"/>
        </w:tabs>
        <w:spacing w:lineRule="auto" w:line="240" w:before="0" w:after="113"/>
        <w:jc w:val="both"/>
        <w:rPr/>
      </w:pPr>
      <w:r>
        <w:rPr/>
        <w:t>Punto di discesa per autobus vicino all'ingresso della squadra e parcheggi (minimo un autobus da 50 posti, un camion da 3,5 t e 5 posti auto);</w:t>
      </w:r>
    </w:p>
    <w:p>
      <w:pPr>
        <w:pStyle w:val="Normal"/>
        <w:numPr>
          <w:ilvl w:val="0"/>
          <w:numId w:val="6"/>
        </w:numPr>
        <w:tabs>
          <w:tab w:val="clear" w:pos="708"/>
          <w:tab w:val="left" w:pos="3570" w:leader="none"/>
        </w:tabs>
        <w:spacing w:lineRule="auto" w:line="240" w:before="0" w:after="113"/>
        <w:jc w:val="both"/>
        <w:rPr/>
      </w:pPr>
      <w:r>
        <w:rPr/>
        <w:t>Un parcheggio con 50 posti disponibili per i Media;</w:t>
      </w:r>
    </w:p>
    <w:p>
      <w:pPr>
        <w:pStyle w:val="Normal"/>
        <w:numPr>
          <w:ilvl w:val="0"/>
          <w:numId w:val="6"/>
        </w:numPr>
        <w:tabs>
          <w:tab w:val="clear" w:pos="708"/>
          <w:tab w:val="left" w:pos="3570" w:leader="none"/>
        </w:tabs>
        <w:spacing w:lineRule="auto" w:line="240" w:before="0" w:after="113"/>
        <w:jc w:val="both"/>
        <w:rPr/>
      </w:pPr>
      <w:r>
        <w:rPr/>
        <w:t>Nessuna attività sul campo contrattualizzato nei 2 mesi precedenti l'inizio del Torneo, al fine di garantire le migliori condizioni possibili del terreno di gioco;</w:t>
      </w:r>
    </w:p>
    <w:p>
      <w:pPr>
        <w:pStyle w:val="Normal"/>
        <w:numPr>
          <w:ilvl w:val="0"/>
          <w:numId w:val="6"/>
        </w:numPr>
        <w:tabs>
          <w:tab w:val="clear" w:pos="708"/>
          <w:tab w:val="left" w:pos="3570" w:leader="none"/>
        </w:tabs>
        <w:spacing w:lineRule="auto" w:line="240" w:before="0" w:after="113"/>
        <w:jc w:val="both"/>
        <w:rPr/>
      </w:pPr>
      <w:r>
        <w:rPr/>
        <w:t>Situato in un ambiente pulito, sicuro e protetto che garantisca la privacy, consentendo sessioni di allenamento a porte chiuse (nessuna visibilità sul campo dall'esterno del centro d'allenamento);</w:t>
      </w:r>
    </w:p>
    <w:p>
      <w:pPr>
        <w:pStyle w:val="Normal"/>
        <w:numPr>
          <w:ilvl w:val="0"/>
          <w:numId w:val="6"/>
        </w:numPr>
        <w:tabs>
          <w:tab w:val="clear" w:pos="708"/>
          <w:tab w:val="left" w:pos="3570" w:leader="none"/>
        </w:tabs>
        <w:spacing w:lineRule="auto" w:line="240" w:before="0" w:after="113"/>
        <w:jc w:val="both"/>
        <w:rPr/>
      </w:pPr>
      <w:r>
        <w:rPr/>
        <w:t>Deve essere possibile attuare rigide misure di sicurezza all'interno e all'esterno del centro d'allenamento;</w:t>
      </w:r>
    </w:p>
    <w:p>
      <w:pPr>
        <w:pStyle w:val="Normal"/>
        <w:numPr>
          <w:ilvl w:val="0"/>
          <w:numId w:val="6"/>
        </w:numPr>
        <w:tabs>
          <w:tab w:val="clear" w:pos="708"/>
          <w:tab w:val="left" w:pos="3570" w:leader="none"/>
        </w:tabs>
        <w:spacing w:lineRule="auto" w:line="240" w:before="0" w:after="113"/>
        <w:jc w:val="both"/>
        <w:rPr/>
      </w:pPr>
      <w:r>
        <w:rPr/>
        <w:t>Deposito sicuro per materiali vari nelle immediate vicinanze del campo;</w:t>
      </w:r>
    </w:p>
    <w:p>
      <w:pPr>
        <w:pStyle w:val="Normal"/>
        <w:numPr>
          <w:ilvl w:val="0"/>
          <w:numId w:val="6"/>
        </w:numPr>
        <w:tabs>
          <w:tab w:val="clear" w:pos="708"/>
          <w:tab w:val="left" w:pos="3570" w:leader="none"/>
        </w:tabs>
        <w:spacing w:lineRule="auto" w:line="240" w:before="0" w:after="113"/>
        <w:jc w:val="both"/>
        <w:rPr/>
      </w:pPr>
      <w:r>
        <w:rPr/>
        <w:t>L'intero centro d'allenamento deve essere pienamente conforme al Principio di Sito Neutro (</w:t>
      </w:r>
      <w:r>
        <w:rPr>
          <w:i/>
          <w:iCs/>
        </w:rPr>
        <w:t>Clean Site Principle</w:t>
      </w:r>
      <w:r>
        <w:rPr/>
        <w:t>);</w:t>
      </w:r>
    </w:p>
    <w:p>
      <w:pPr>
        <w:pStyle w:val="Normal"/>
        <w:numPr>
          <w:ilvl w:val="0"/>
          <w:numId w:val="6"/>
        </w:numPr>
        <w:tabs>
          <w:tab w:val="clear" w:pos="708"/>
          <w:tab w:val="left" w:pos="3570" w:leader="none"/>
        </w:tabs>
        <w:spacing w:lineRule="auto" w:line="240" w:before="0" w:after="113"/>
        <w:jc w:val="both"/>
        <w:rPr/>
      </w:pPr>
      <w:r>
        <w:rPr/>
        <w:t>I proprietari / gestori del centro d’allenamento di impegnano a garantire che:</w:t>
      </w:r>
    </w:p>
    <w:p>
      <w:pPr>
        <w:pStyle w:val="Normal"/>
        <w:numPr>
          <w:ilvl w:val="1"/>
          <w:numId w:val="8"/>
        </w:numPr>
        <w:spacing w:lineRule="auto" w:line="274" w:before="0" w:after="0"/>
        <w:rPr/>
      </w:pPr>
      <w:r>
        <w:rPr>
          <w:color w:val="1F1F1F"/>
        </w:rPr>
        <w:t>la UEFA abbia pieno e libero accesso a tutti i terreni e le strutture pertinenti di proprietà e/o controllati contrattualmente da ciascuno dei proprietari e/o gestori dei centri d'allenamento in relazione al Torneo e per tutti i servizi consueti richiesti per l'uso di tali strutture;</w:t>
      </w:r>
    </w:p>
    <w:p>
      <w:pPr>
        <w:pStyle w:val="BodyText"/>
        <w:numPr>
          <w:ilvl w:val="1"/>
          <w:numId w:val="8"/>
        </w:numPr>
        <w:spacing w:lineRule="auto" w:line="274" w:before="0" w:after="0"/>
        <w:rPr/>
      </w:pPr>
      <w:r>
        <w:rPr>
          <w:color w:val="1F1F1F"/>
        </w:rPr>
        <w:t>l'Associazione Ospitante, i proprietari e/o i gestori dei centri d'allenamento rispettino e applichino il Principio di Sito Neutro durante l'intero periodo in cui tali strutture sono riservate al Torneo;</w:t>
      </w:r>
    </w:p>
    <w:p>
      <w:pPr>
        <w:pStyle w:val="BodyText"/>
        <w:numPr>
          <w:ilvl w:val="1"/>
          <w:numId w:val="8"/>
        </w:numPr>
        <w:spacing w:lineRule="auto" w:line="274" w:before="0" w:after="0"/>
        <w:rPr/>
      </w:pPr>
      <w:r>
        <w:rPr>
          <w:color w:val="1F1F1F"/>
        </w:rPr>
        <w:t>ciascuno dei proprietari e/o gestori dei centri d'allenamento si attenga alle istruzioni impartite dall'Associazione Ospitante e dalla UEFA per quanto riguarda la politica di salute e sicurezza applicata presso la loro struttura;</w:t>
      </w:r>
    </w:p>
    <w:p>
      <w:pPr>
        <w:pStyle w:val="BodyText"/>
        <w:numPr>
          <w:ilvl w:val="1"/>
          <w:numId w:val="8"/>
        </w:numPr>
        <w:spacing w:lineRule="auto" w:line="274" w:before="0" w:after="0"/>
        <w:rPr/>
      </w:pPr>
      <w:r>
        <w:rPr>
          <w:color w:val="1F1F1F"/>
        </w:rPr>
        <w:t>sia stipulata una copertura assicurativa adeguata e necessaria con compagnie primarie relativamente agli alloggi alberghieri e ai centri d'allenamento pertinenti, le cui copie delle polizze devono essere presentate all'Associazione Ospitante per la verifica entro e non oltre dodici (12) mesi prima dell'inizio del Torneo.</w:t>
      </w:r>
    </w:p>
    <w:p>
      <w:pPr>
        <w:pStyle w:val="Default"/>
        <w:spacing w:before="0" w:after="57"/>
        <w:jc w:val="both"/>
        <w:rPr>
          <w:rFonts w:ascii="Calibri" w:hAnsi="Calibri" w:eastAsia="Times New Roman"/>
          <w:sz w:val="22"/>
          <w:szCs w:val="22"/>
          <w:lang w:eastAsia="it-IT"/>
        </w:rPr>
      </w:pPr>
      <w:r>
        <w:rPr>
          <w:rFonts w:eastAsia="Times New Roman" w:ascii="Calibri" w:hAnsi="Calibri"/>
          <w:sz w:val="22"/>
          <w:szCs w:val="22"/>
          <w:lang w:eastAsia="it-IT"/>
        </w:rPr>
        <w:t>Inoltre, se la UEFA non approva un particolare accordo per un centro d'allenamento e/o laddove la UEFA lo richieda, l'Associazione Ospitante individuerà un centro d'allenamento alternativo e/o apporterà le modifiche al relativo accordo che si rendano necessarie per conformarsi alle istruzioni della UEFA.</w:t>
      </w:r>
    </w:p>
    <w:p>
      <w:pPr>
        <w:pStyle w:val="Normal"/>
        <w:tabs>
          <w:tab w:val="clear" w:pos="708"/>
          <w:tab w:val="left" w:pos="3570" w:leader="none"/>
        </w:tabs>
        <w:spacing w:lineRule="auto" w:line="240" w:before="0" w:after="113"/>
        <w:jc w:val="both"/>
        <w:rPr>
          <w:b/>
          <w:bCs/>
        </w:rPr>
      </w:pPr>
      <w:r>
        <w:rPr>
          <w:b/>
          <w:bCs/>
        </w:rPr>
        <w:t>Requisiti opzionali di eccellenza:</w:t>
      </w:r>
    </w:p>
    <w:p>
      <w:pPr>
        <w:pStyle w:val="Normal"/>
        <w:numPr>
          <w:ilvl w:val="0"/>
          <w:numId w:val="6"/>
        </w:numPr>
        <w:tabs>
          <w:tab w:val="clear" w:pos="708"/>
          <w:tab w:val="left" w:pos="3570" w:leader="none"/>
        </w:tabs>
        <w:spacing w:lineRule="auto" w:line="240" w:before="0" w:after="113"/>
        <w:jc w:val="both"/>
        <w:rPr/>
      </w:pPr>
      <w:r>
        <w:rPr/>
        <w:t>Campo aggiuntivo e/o area di riscaldamento vicino al campo;</w:t>
      </w:r>
    </w:p>
    <w:p>
      <w:pPr>
        <w:pStyle w:val="Normal"/>
        <w:numPr>
          <w:ilvl w:val="0"/>
          <w:numId w:val="6"/>
        </w:numPr>
        <w:tabs>
          <w:tab w:val="clear" w:pos="708"/>
          <w:tab w:val="left" w:pos="3570" w:leader="none"/>
        </w:tabs>
        <w:spacing w:lineRule="auto" w:line="240" w:before="0" w:after="113"/>
        <w:jc w:val="both"/>
        <w:rPr/>
      </w:pPr>
      <w:r>
        <w:rPr/>
        <w:t>Centri d'allenamento entro 15 minuti dagli hotel abbinati alle squadre;</w:t>
      </w:r>
    </w:p>
    <w:p>
      <w:pPr>
        <w:pStyle w:val="Normal"/>
        <w:numPr>
          <w:ilvl w:val="0"/>
          <w:numId w:val="6"/>
        </w:numPr>
        <w:tabs>
          <w:tab w:val="clear" w:pos="708"/>
          <w:tab w:val="left" w:pos="3570" w:leader="none"/>
        </w:tabs>
        <w:spacing w:lineRule="auto" w:line="240" w:before="0" w:after="113"/>
        <w:jc w:val="both"/>
        <w:rPr/>
      </w:pPr>
      <w:r>
        <w:rPr/>
        <w:t>Accesso a una sala stampa per 50 persone;</w:t>
      </w:r>
    </w:p>
    <w:p>
      <w:pPr>
        <w:pStyle w:val="Normal"/>
        <w:numPr>
          <w:ilvl w:val="0"/>
          <w:numId w:val="6"/>
        </w:numPr>
        <w:tabs>
          <w:tab w:val="clear" w:pos="708"/>
          <w:tab w:val="left" w:pos="3570" w:leader="none"/>
        </w:tabs>
        <w:spacing w:lineRule="auto" w:line="240" w:before="0" w:after="113"/>
        <w:jc w:val="both"/>
        <w:rPr/>
      </w:pPr>
      <w:r>
        <w:rPr/>
        <w:t>Recinzione protettiva dietro ciascuna porta per impedire ai palloni di uscire dal terreno del centro d'allenamento;</w:t>
      </w:r>
    </w:p>
    <w:p>
      <w:pPr>
        <w:pStyle w:val="Normal"/>
        <w:numPr>
          <w:ilvl w:val="0"/>
          <w:numId w:val="6"/>
        </w:numPr>
        <w:tabs>
          <w:tab w:val="clear" w:pos="708"/>
          <w:tab w:val="left" w:pos="3570" w:leader="none"/>
        </w:tabs>
        <w:spacing w:lineRule="auto" w:line="240" w:before="0" w:after="113"/>
        <w:jc w:val="both"/>
        <w:rPr/>
      </w:pPr>
      <w:r>
        <w:rPr/>
        <w:t>Centro d'allenamento interamente recintato;</w:t>
      </w:r>
    </w:p>
    <w:p>
      <w:pPr>
        <w:pStyle w:val="Normal"/>
        <w:numPr>
          <w:ilvl w:val="0"/>
          <w:numId w:val="6"/>
        </w:numPr>
        <w:tabs>
          <w:tab w:val="clear" w:pos="708"/>
          <w:tab w:val="left" w:pos="3570" w:leader="none"/>
        </w:tabs>
        <w:spacing w:lineRule="auto" w:line="240" w:before="0" w:after="113"/>
        <w:jc w:val="both"/>
        <w:rPr/>
      </w:pPr>
      <w:r>
        <w:rPr/>
        <w:t>Tribune coperte per i rappresentanti dei media (idealmente circa 5.000 posti);</w:t>
      </w:r>
    </w:p>
    <w:p>
      <w:pPr>
        <w:pStyle w:val="Normal"/>
        <w:numPr>
          <w:ilvl w:val="0"/>
          <w:numId w:val="6"/>
        </w:numPr>
        <w:tabs>
          <w:tab w:val="clear" w:pos="708"/>
          <w:tab w:val="left" w:pos="3570" w:leader="none"/>
        </w:tabs>
        <w:spacing w:lineRule="auto" w:line="240" w:before="0" w:after="113"/>
        <w:jc w:val="both"/>
        <w:rPr/>
      </w:pPr>
      <w:r>
        <w:rPr/>
        <w:t>Locale per offrire rinfreschi ai dirigenti della squadra e ai rappresentanti dei media;</w:t>
      </w:r>
    </w:p>
    <w:p>
      <w:pPr>
        <w:pStyle w:val="Normal"/>
        <w:numPr>
          <w:ilvl w:val="0"/>
          <w:numId w:val="6"/>
        </w:numPr>
        <w:tabs>
          <w:tab w:val="clear" w:pos="708"/>
          <w:tab w:val="left" w:pos="3570" w:leader="none"/>
        </w:tabs>
        <w:spacing w:lineRule="auto" w:line="240" w:before="0" w:after="113"/>
        <w:jc w:val="both"/>
        <w:rPr/>
      </w:pPr>
      <w:r>
        <w:rPr/>
        <w:t>Accesso nelle vicinanze (idealmente in loco) a palestra completamente attrezzata e strutture di recupero (sauna, crioterapia, piscina…);</w:t>
      </w:r>
    </w:p>
    <w:p>
      <w:pPr>
        <w:pStyle w:val="Normal"/>
        <w:numPr>
          <w:ilvl w:val="0"/>
          <w:numId w:val="6"/>
        </w:numPr>
        <w:tabs>
          <w:tab w:val="clear" w:pos="708"/>
          <w:tab w:val="left" w:pos="3570" w:leader="none"/>
        </w:tabs>
        <w:spacing w:lineRule="auto" w:line="240" w:before="0" w:after="113"/>
        <w:jc w:val="both"/>
        <w:rPr/>
      </w:pPr>
      <w:r>
        <w:rPr/>
        <w:t>Centro d'allenamento di proprietà di club professionistici (centro d'allenamento principale, stadio o settore giovanile);</w:t>
      </w:r>
    </w:p>
    <w:p>
      <w:pPr>
        <w:pStyle w:val="Normal"/>
        <w:numPr>
          <w:ilvl w:val="0"/>
          <w:numId w:val="6"/>
        </w:numPr>
        <w:tabs>
          <w:tab w:val="clear" w:pos="708"/>
          <w:tab w:val="left" w:pos="3570" w:leader="none"/>
        </w:tabs>
        <w:spacing w:lineRule="auto" w:line="240" w:before="0" w:after="113"/>
        <w:jc w:val="both"/>
        <w:rPr/>
      </w:pPr>
      <w:r>
        <w:rPr/>
        <w:t>Centro d'allenamento entro 10-15 minuti di autobus da entrambi gli hotel di trasferimento.</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b/>
          <w:bCs/>
          <w:sz w:val="24"/>
          <w:szCs w:val="24"/>
        </w:rPr>
        <w:t>ART. 6 - CAUSE DI ESCLUSIONE DALLA PROCEDURA</w:t>
      </w:r>
    </w:p>
    <w:p>
      <w:pPr>
        <w:pStyle w:val="Normal"/>
        <w:tabs>
          <w:tab w:val="clear" w:pos="708"/>
          <w:tab w:val="left" w:pos="3570" w:leader="none"/>
        </w:tabs>
        <w:spacing w:lineRule="auto" w:line="240" w:before="0" w:after="113"/>
        <w:jc w:val="both"/>
        <w:rPr/>
      </w:pPr>
      <w:r>
        <w:rPr/>
        <w:t>Rappresentano motivi di esclusione dalla partecipazione alla presente manifestazione di interesse:</w:t>
      </w:r>
    </w:p>
    <w:p>
      <w:pPr>
        <w:pStyle w:val="Normal"/>
        <w:numPr>
          <w:ilvl w:val="0"/>
          <w:numId w:val="3"/>
        </w:numPr>
        <w:tabs>
          <w:tab w:val="clear" w:pos="708"/>
          <w:tab w:val="left" w:pos="3570" w:leader="none"/>
        </w:tabs>
        <w:spacing w:lineRule="auto" w:line="240" w:before="0" w:after="113"/>
        <w:jc w:val="both"/>
        <w:rPr/>
      </w:pPr>
      <w:r>
        <w:rPr/>
        <w:t xml:space="preserve">Esclusione Automatica (art. 94 D.Lgs. 36/2023): </w:t>
      </w:r>
    </w:p>
    <w:p>
      <w:pPr>
        <w:pStyle w:val="Normal"/>
        <w:numPr>
          <w:ilvl w:val="1"/>
          <w:numId w:val="3"/>
        </w:numPr>
        <w:tabs>
          <w:tab w:val="clear" w:pos="708"/>
          <w:tab w:val="left" w:pos="3570" w:leader="none"/>
        </w:tabs>
        <w:spacing w:lineRule="auto" w:line="240" w:before="0" w:after="113"/>
        <w:jc w:val="both"/>
        <w:rPr/>
      </w:pPr>
      <w:r>
        <w:rPr/>
        <w:t>La presenza di condanne penali con sentenza definitiva o decreto penale divenuto irrevocabile a carico del Legale Rappresentante, degli amministratori o dei soggetti dotati di potere di rappresentanza per reati gravi, tra cui: delitti di criminalità organizzata, corruzione, concussione, frode ai danni dello Stato o dell'Unione Europea, riciclaggio, sfruttamento del lavoro minorile o reati ambientali e urbanistici di particolare gravità;</w:t>
      </w:r>
    </w:p>
    <w:p>
      <w:pPr>
        <w:pStyle w:val="Normal"/>
        <w:numPr>
          <w:ilvl w:val="0"/>
          <w:numId w:val="3"/>
        </w:numPr>
        <w:tabs>
          <w:tab w:val="clear" w:pos="708"/>
          <w:tab w:val="left" w:pos="3570" w:leader="none"/>
        </w:tabs>
        <w:spacing w:lineRule="auto" w:line="240" w:before="0" w:after="113"/>
        <w:jc w:val="both"/>
        <w:rPr/>
      </w:pPr>
      <w:r>
        <w:rPr/>
        <w:t xml:space="preserve">Esclusione Non Automatica e Illeciti Professionali (art. 95 e 98 D.Lgs. 36/2023): </w:t>
      </w:r>
    </w:p>
    <w:p>
      <w:pPr>
        <w:pStyle w:val="Normal"/>
        <w:numPr>
          <w:ilvl w:val="1"/>
          <w:numId w:val="3"/>
        </w:numPr>
        <w:tabs>
          <w:tab w:val="clear" w:pos="708"/>
          <w:tab w:val="left" w:pos="3570" w:leader="none"/>
        </w:tabs>
        <w:spacing w:lineRule="auto" w:line="240" w:before="0" w:after="113"/>
        <w:jc w:val="both"/>
        <w:rPr/>
      </w:pPr>
      <w:r>
        <w:rPr/>
        <w:t>Sussistenza di gravi illeciti professionali accertati che facciano venire meno l'affidabilità o l'integrità del soggetto partecipante;</w:t>
      </w:r>
    </w:p>
    <w:p>
      <w:pPr>
        <w:pStyle w:val="Normal"/>
        <w:numPr>
          <w:ilvl w:val="1"/>
          <w:numId w:val="3"/>
        </w:numPr>
        <w:tabs>
          <w:tab w:val="clear" w:pos="708"/>
          <w:tab w:val="left" w:pos="3570" w:leader="none"/>
        </w:tabs>
        <w:spacing w:lineRule="auto" w:line="240" w:before="0" w:after="113"/>
        <w:jc w:val="both"/>
        <w:rPr/>
      </w:pPr>
      <w:r>
        <w:rPr/>
        <w:t>Presenza di conflitti di interesse non risolvibili con adeguate misure correttive;</w:t>
      </w:r>
    </w:p>
    <w:p>
      <w:pPr>
        <w:pStyle w:val="Normal"/>
        <w:numPr>
          <w:ilvl w:val="1"/>
          <w:numId w:val="3"/>
        </w:numPr>
        <w:tabs>
          <w:tab w:val="clear" w:pos="708"/>
          <w:tab w:val="left" w:pos="3570" w:leader="none"/>
        </w:tabs>
        <w:spacing w:lineRule="auto" w:line="240" w:before="0" w:after="113"/>
        <w:jc w:val="both"/>
        <w:rPr/>
      </w:pPr>
      <w:r>
        <w:rPr/>
        <w:t>Sottoposizione a sanzioni interdittive o divieti di contrarre con la Pubblica Amministrazione ex D.Lgs. 231/2001.</w:t>
      </w:r>
    </w:p>
    <w:p>
      <w:pPr>
        <w:pStyle w:val="Normal"/>
        <w:numPr>
          <w:ilvl w:val="0"/>
          <w:numId w:val="3"/>
        </w:numPr>
        <w:tabs>
          <w:tab w:val="clear" w:pos="708"/>
          <w:tab w:val="left" w:pos="3570" w:leader="none"/>
        </w:tabs>
        <w:spacing w:lineRule="auto" w:line="240" w:before="0" w:after="113"/>
        <w:jc w:val="both"/>
        <w:rPr/>
      </w:pPr>
      <w:r>
        <w:rPr/>
        <w:t>Inosservanza degli Obblighi Tributari, Contributivi e di Legge:</w:t>
      </w:r>
    </w:p>
    <w:p>
      <w:pPr>
        <w:pStyle w:val="Normal"/>
        <w:numPr>
          <w:ilvl w:val="1"/>
          <w:numId w:val="3"/>
        </w:numPr>
        <w:tabs>
          <w:tab w:val="clear" w:pos="708"/>
          <w:tab w:val="left" w:pos="3570" w:leader="none"/>
        </w:tabs>
        <w:spacing w:lineRule="auto" w:line="240" w:before="0" w:after="113"/>
        <w:jc w:val="both"/>
        <w:rPr/>
      </w:pPr>
      <w:r>
        <w:rPr/>
        <w:t>Irregolarità grave e definitivamente accertata relativa al pagamento di imposte e tasse;</w:t>
      </w:r>
    </w:p>
    <w:p>
      <w:pPr>
        <w:pStyle w:val="Normal"/>
        <w:numPr>
          <w:ilvl w:val="1"/>
          <w:numId w:val="3"/>
        </w:numPr>
        <w:tabs>
          <w:tab w:val="clear" w:pos="708"/>
          <w:tab w:val="left" w:pos="3570" w:leader="none"/>
        </w:tabs>
        <w:spacing w:lineRule="auto" w:line="240" w:before="0" w:after="113"/>
        <w:jc w:val="both"/>
        <w:rPr/>
      </w:pPr>
      <w:r>
        <w:rPr/>
        <w:t xml:space="preserve">Irregolarità nel DURC (Documento Unico di Regolarità Contributiva); </w:t>
      </w:r>
    </w:p>
    <w:p>
      <w:pPr>
        <w:pStyle w:val="Normal"/>
        <w:numPr>
          <w:ilvl w:val="1"/>
          <w:numId w:val="3"/>
        </w:numPr>
        <w:tabs>
          <w:tab w:val="clear" w:pos="708"/>
          <w:tab w:val="left" w:pos="3570" w:leader="none"/>
        </w:tabs>
        <w:spacing w:lineRule="auto" w:line="240" w:before="0" w:after="113"/>
        <w:jc w:val="both"/>
        <w:rPr/>
      </w:pPr>
      <w:r>
        <w:rPr/>
        <w:t xml:space="preserve">Violazione delle norme in materia di salute e sicurezza sui luoghi di lavoro ex D.Lgs. 81/2008 e della disciplina per il diritto al lavoro dei disabili ex Legge 68/1999. </w:t>
      </w:r>
    </w:p>
    <w:p>
      <w:pPr>
        <w:pStyle w:val="Normal"/>
        <w:numPr>
          <w:ilvl w:val="0"/>
          <w:numId w:val="3"/>
        </w:numPr>
        <w:tabs>
          <w:tab w:val="clear" w:pos="708"/>
          <w:tab w:val="left" w:pos="3570" w:leader="none"/>
        </w:tabs>
        <w:spacing w:lineRule="auto" w:line="240" w:before="0" w:after="113"/>
        <w:jc w:val="both"/>
        <w:rPr/>
      </w:pPr>
      <w:r>
        <w:rPr/>
        <w:t xml:space="preserve">Irregolarità nelle Dichiarazioni e nell’Istanza: </w:t>
      </w:r>
    </w:p>
    <w:p>
      <w:pPr>
        <w:pStyle w:val="Normal"/>
        <w:numPr>
          <w:ilvl w:val="1"/>
          <w:numId w:val="3"/>
        </w:numPr>
        <w:tabs>
          <w:tab w:val="clear" w:pos="708"/>
          <w:tab w:val="left" w:pos="3570" w:leader="none"/>
        </w:tabs>
        <w:spacing w:lineRule="auto" w:line="240" w:before="0" w:after="113"/>
        <w:jc w:val="both"/>
        <w:rPr/>
      </w:pPr>
      <w:r>
        <w:rPr/>
        <w:t xml:space="preserve">Resa di dichiarazioni mendaci o esibizione di documentazione contenente dati non veritieri nell'ambito dell'istanza di partecipazione (Allegato 1);  </w:t>
      </w:r>
    </w:p>
    <w:p>
      <w:pPr>
        <w:pStyle w:val="Normal"/>
        <w:numPr>
          <w:ilvl w:val="1"/>
          <w:numId w:val="3"/>
        </w:numPr>
        <w:tabs>
          <w:tab w:val="clear" w:pos="708"/>
          <w:tab w:val="left" w:pos="3570" w:leader="none"/>
        </w:tabs>
        <w:spacing w:lineRule="auto" w:line="240" w:before="0" w:after="113"/>
        <w:jc w:val="both"/>
        <w:rPr/>
      </w:pPr>
      <w:r>
        <w:rPr/>
        <w:t>Presentazione della domanda oltre i termini perentori o con modalità difformi da quanto stabilito dall'Articolo 7 del presente Avviso.</w:t>
      </w:r>
    </w:p>
    <w:p>
      <w:pPr>
        <w:pStyle w:val="Normal"/>
        <w:tabs>
          <w:tab w:val="clear" w:pos="708"/>
          <w:tab w:val="left" w:pos="3570" w:leader="none"/>
        </w:tabs>
        <w:spacing w:lineRule="auto" w:line="240" w:before="0" w:after="57"/>
        <w:jc w:val="both"/>
        <w:rPr/>
      </w:pPr>
      <w:r>
        <w:rPr/>
      </w:r>
    </w:p>
    <w:p>
      <w:pPr>
        <w:pStyle w:val="Normal"/>
        <w:tabs>
          <w:tab w:val="clear" w:pos="708"/>
          <w:tab w:val="left" w:pos="3570" w:leader="none"/>
        </w:tabs>
        <w:spacing w:lineRule="auto" w:line="240" w:before="0" w:after="113"/>
        <w:jc w:val="both"/>
        <w:rPr>
          <w:b/>
          <w:bCs/>
          <w:sz w:val="24"/>
          <w:szCs w:val="24"/>
        </w:rPr>
      </w:pPr>
      <w:r>
        <w:rPr>
          <w:b/>
          <w:bCs/>
          <w:sz w:val="24"/>
          <w:szCs w:val="24"/>
        </w:rPr>
        <w:t>ART. 7 – TERMINI E MODALITA’ DI PARTECIPAZIONE</w:t>
      </w:r>
    </w:p>
    <w:p>
      <w:pPr>
        <w:pStyle w:val="Normal"/>
        <w:tabs>
          <w:tab w:val="clear" w:pos="708"/>
          <w:tab w:val="left" w:pos="3570" w:leader="none"/>
        </w:tabs>
        <w:spacing w:lineRule="auto" w:line="240" w:before="0" w:after="113"/>
        <w:jc w:val="both"/>
        <w:rPr/>
      </w:pPr>
      <w:r>
        <w:rPr/>
        <w:t>In considerazione delle stringenti tempistiche imposte per la definizione e consegna del dossier di candidatura per UEFA EURO 2032, e ravvisata pertanto la necessità e l'urgenza di concludere celermente l'indagine di mercato, ai sensi dell'art. 2, comma 2, dell'Allegato II.1 al D.Lgs. 36/2023 il termine per la presentazione delle manifestazioni di interesse è ridotto a 7 (sette) giorni, decorrenti dalla data di pubblicazione del presente avviso.</w:t>
      </w:r>
    </w:p>
    <w:p>
      <w:pPr>
        <w:pStyle w:val="Normal"/>
        <w:tabs>
          <w:tab w:val="clear" w:pos="708"/>
          <w:tab w:val="left" w:pos="3570" w:leader="none"/>
        </w:tabs>
        <w:spacing w:lineRule="auto" w:line="240" w:before="0" w:after="113"/>
        <w:jc w:val="both"/>
        <w:rPr/>
      </w:pPr>
      <w:r>
        <w:rPr/>
        <w:t xml:space="preserve">I soggetti interessati devono presentare la propria candidatura </w:t>
      </w:r>
      <w:r>
        <w:rPr>
          <w:b/>
          <w:bCs/>
          <w:u w:val="single"/>
        </w:rPr>
        <w:t>entro e non oltre le ore 18:00 del 27.08.2026.</w:t>
      </w:r>
    </w:p>
    <w:p>
      <w:pPr>
        <w:pStyle w:val="Normal"/>
        <w:tabs>
          <w:tab w:val="clear" w:pos="708"/>
          <w:tab w:val="left" w:pos="3570" w:leader="none"/>
        </w:tabs>
        <w:spacing w:lineRule="auto" w:line="240" w:before="0" w:after="113"/>
        <w:jc w:val="both"/>
        <w:rPr/>
      </w:pPr>
      <w:r>
        <w:rPr/>
        <w:t>La manifestazione di interesse dovrà essere predisposta utilizzando l'apposita modulistica allegata al presente Avviso (Allegato 1 per gli hotel e Allegato 2 per i centri d’allenamento) e dovrà contenere:</w:t>
      </w:r>
    </w:p>
    <w:p>
      <w:pPr>
        <w:pStyle w:val="Normal"/>
        <w:numPr>
          <w:ilvl w:val="0"/>
          <w:numId w:val="1"/>
        </w:numPr>
        <w:tabs>
          <w:tab w:val="clear" w:pos="708"/>
          <w:tab w:val="left" w:pos="3570" w:leader="none"/>
        </w:tabs>
        <w:spacing w:lineRule="auto" w:line="240" w:before="0" w:after="113"/>
        <w:jc w:val="both"/>
        <w:rPr/>
      </w:pPr>
      <w:r>
        <w:rPr/>
        <w:t>Anagrafica del soggetto proponente e del Legale Rappresentante;</w:t>
      </w:r>
    </w:p>
    <w:p>
      <w:pPr>
        <w:pStyle w:val="Normal"/>
        <w:numPr>
          <w:ilvl w:val="0"/>
          <w:numId w:val="1"/>
        </w:numPr>
        <w:tabs>
          <w:tab w:val="clear" w:pos="708"/>
          <w:tab w:val="left" w:pos="3570" w:leader="none"/>
        </w:tabs>
        <w:spacing w:lineRule="auto" w:line="240" w:before="0" w:after="113"/>
        <w:jc w:val="both"/>
        <w:rPr/>
      </w:pPr>
      <w:r>
        <w:rPr/>
        <w:t>Tipologia di soggetto e categoria di appartenenza;</w:t>
      </w:r>
    </w:p>
    <w:p>
      <w:pPr>
        <w:pStyle w:val="Normal"/>
        <w:numPr>
          <w:ilvl w:val="0"/>
          <w:numId w:val="1"/>
        </w:numPr>
        <w:tabs>
          <w:tab w:val="clear" w:pos="708"/>
          <w:tab w:val="left" w:pos="3570" w:leader="none"/>
        </w:tabs>
        <w:spacing w:lineRule="auto" w:line="240" w:before="0" w:after="113"/>
        <w:jc w:val="both"/>
        <w:rPr/>
      </w:pPr>
      <w:r>
        <w:rPr/>
        <w:t>Dichiarazioni sostitutive (ex D.P.R. 445/2000) attestanti il possesso dei requisiti di partecipazione richiesti da UEFA, con specificazione degli stessi;</w:t>
      </w:r>
    </w:p>
    <w:p>
      <w:pPr>
        <w:pStyle w:val="Normal"/>
        <w:numPr>
          <w:ilvl w:val="0"/>
          <w:numId w:val="1"/>
        </w:numPr>
        <w:tabs>
          <w:tab w:val="clear" w:pos="708"/>
          <w:tab w:val="left" w:pos="3570" w:leader="none"/>
        </w:tabs>
        <w:spacing w:lineRule="auto" w:line="240" w:before="0" w:after="113"/>
        <w:jc w:val="both"/>
        <w:rPr/>
      </w:pPr>
      <w:r>
        <w:rPr/>
        <w:t>Formale impegno: dichiarazione vincolante, sottoscritta dal Legale Rappresentante del soggetto proponente, con la quale il partecipante si obbliga espressamente a:</w:t>
      </w:r>
    </w:p>
    <w:p>
      <w:pPr>
        <w:pStyle w:val="Normal"/>
        <w:numPr>
          <w:ilvl w:val="1"/>
          <w:numId w:val="1"/>
        </w:numPr>
        <w:tabs>
          <w:tab w:val="clear" w:pos="708"/>
          <w:tab w:val="left" w:pos="3570" w:leader="none"/>
        </w:tabs>
        <w:spacing w:lineRule="auto" w:line="240" w:before="0" w:after="113"/>
        <w:jc w:val="both"/>
        <w:rPr/>
      </w:pPr>
      <w:r>
        <w:rPr/>
        <w:t xml:space="preserve">procedere alla sottoscrizione e invio del </w:t>
      </w:r>
      <w:r>
        <w:rPr>
          <w:i/>
          <w:iCs/>
        </w:rPr>
        <w:t>Reservation Form</w:t>
      </w:r>
      <w:r>
        <w:rPr/>
        <w:t xml:space="preserve"> (allegato al presente Avviso per sola presa visione) </w:t>
      </w:r>
      <w:r>
        <w:rPr>
          <w:b/>
          <w:bCs/>
        </w:rPr>
        <w:t>entro non oltre 2 giorni lavorativi</w:t>
      </w:r>
      <w:r>
        <w:rPr/>
        <w:t xml:space="preserve"> dalla comunicazione di individuazione da parte dell’Amministrazione;</w:t>
      </w:r>
    </w:p>
    <w:p>
      <w:pPr>
        <w:pStyle w:val="Normal"/>
        <w:numPr>
          <w:ilvl w:val="1"/>
          <w:numId w:val="1"/>
        </w:numPr>
        <w:tabs>
          <w:tab w:val="clear" w:pos="708"/>
          <w:tab w:val="left" w:pos="3570" w:leader="none"/>
        </w:tabs>
        <w:spacing w:lineRule="auto" w:line="240" w:before="0" w:after="113"/>
        <w:jc w:val="both"/>
        <w:rPr/>
      </w:pPr>
      <w:r>
        <w:rPr/>
        <w:t>restare a disposizione dell’Amministrazione per eventuali altri adempimenti possano essere richiesti da FIGC o UEFA.</w:t>
      </w:r>
    </w:p>
    <w:p>
      <w:pPr>
        <w:pStyle w:val="Normal"/>
        <w:tabs>
          <w:tab w:val="clear" w:pos="708"/>
          <w:tab w:val="left" w:pos="3570" w:leader="none"/>
        </w:tabs>
        <w:spacing w:lineRule="auto" w:line="240" w:before="0" w:after="113"/>
        <w:jc w:val="both"/>
        <w:rPr/>
      </w:pPr>
      <w:r>
        <w:rPr/>
        <w:t xml:space="preserve">L'istanza, firmata digitalmente, o con firma olografa corredata da copia del documento d’identità, dal Legale Rappresentante, dovrà pervenire tassativamente tramite PEC all'indirizzo </w:t>
      </w:r>
      <w:r>
        <w:rPr>
          <w:b/>
          <w:bCs/>
          <w:i/>
          <w:iCs/>
        </w:rPr>
        <w:t>protocollo@pec.comune.lecce.it</w:t>
      </w:r>
      <w:r>
        <w:rPr/>
        <w:t xml:space="preserve"> indicando nell'oggetto: </w:t>
      </w:r>
      <w:r>
        <w:rPr>
          <w:b/>
          <w:bCs/>
        </w:rPr>
        <w:t>"MANIFESTAZIONE DI INTERESSE – EURO 2032".</w:t>
      </w:r>
    </w:p>
    <w:p>
      <w:pPr>
        <w:pStyle w:val="Normal"/>
        <w:tabs>
          <w:tab w:val="clear" w:pos="708"/>
          <w:tab w:val="left" w:pos="3570" w:leader="none"/>
        </w:tabs>
        <w:spacing w:lineRule="auto" w:line="240" w:before="0" w:after="113"/>
        <w:jc w:val="both"/>
        <w:rPr>
          <w:b/>
          <w:bCs/>
        </w:rPr>
      </w:pPr>
      <w:r>
        <w:rPr>
          <w:b/>
          <w:bCs/>
        </w:rPr>
      </w:r>
    </w:p>
    <w:p>
      <w:pPr>
        <w:pStyle w:val="Normal"/>
        <w:tabs>
          <w:tab w:val="clear" w:pos="708"/>
          <w:tab w:val="left" w:pos="3570" w:leader="none"/>
        </w:tabs>
        <w:spacing w:lineRule="auto" w:line="240" w:before="0" w:after="113"/>
        <w:jc w:val="both"/>
        <w:rPr>
          <w:b/>
          <w:bCs/>
          <w:sz w:val="24"/>
          <w:szCs w:val="24"/>
        </w:rPr>
      </w:pPr>
      <w:r>
        <w:rPr>
          <w:b/>
          <w:bCs/>
          <w:sz w:val="24"/>
          <w:szCs w:val="24"/>
        </w:rPr>
        <w:t>ART. 8 - SOCCORSO ISTRUTTORIO</w:t>
      </w:r>
    </w:p>
    <w:p>
      <w:pPr>
        <w:pStyle w:val="Normal"/>
        <w:tabs>
          <w:tab w:val="clear" w:pos="708"/>
          <w:tab w:val="left" w:pos="3570" w:leader="none"/>
        </w:tabs>
        <w:spacing w:lineRule="auto" w:line="240" w:before="0" w:after="113"/>
        <w:jc w:val="both"/>
        <w:rPr/>
      </w:pPr>
      <w:r>
        <w:rPr/>
        <w:t>La carenza di qualsiasi elemento formale della manifestazione di interesse può essere sanata attraverso la procedura di soccorso istruttorio ai sensi e per gli effetti dell'art. 101 del D.Lgs. 36/2023. Nello specifico:</w:t>
      </w:r>
    </w:p>
    <w:p>
      <w:pPr>
        <w:pStyle w:val="Normal"/>
        <w:numPr>
          <w:ilvl w:val="0"/>
          <w:numId w:val="4"/>
        </w:numPr>
        <w:tabs>
          <w:tab w:val="clear" w:pos="708"/>
          <w:tab w:val="left" w:pos="3570" w:leader="none"/>
        </w:tabs>
        <w:spacing w:lineRule="auto" w:line="240" w:before="0" w:after="113"/>
        <w:jc w:val="both"/>
        <w:rPr/>
      </w:pPr>
      <w:r>
        <w:rPr/>
        <w:t>Irregolarità Sanabili: L'incompleta o erronea compilazione della modulistica di candidatura (Allegato 1), l'omessa o incompleta presentazione di dichiarazioni sostitutive rese ai sensi del D.P.R. 445/2000 o la mancanza di documenti allegati a corredo dell'istanza non costituiscono causa di esclusione immediata. Il Comune di Lecce assegna al soggetto partecipante un termine non superiore a 5 (cinque) giorni per rendere, integrare o regolarizzare le dichiarazioni necessarie.</w:t>
      </w:r>
    </w:p>
    <w:p>
      <w:pPr>
        <w:pStyle w:val="Normal"/>
        <w:numPr>
          <w:ilvl w:val="0"/>
          <w:numId w:val="4"/>
        </w:numPr>
        <w:tabs>
          <w:tab w:val="clear" w:pos="708"/>
          <w:tab w:val="left" w:pos="3570" w:leader="none"/>
        </w:tabs>
        <w:spacing w:lineRule="auto" w:line="240" w:before="0" w:after="113"/>
        <w:jc w:val="both"/>
        <w:rPr/>
      </w:pPr>
      <w:r>
        <w:rPr/>
        <w:t xml:space="preserve">Irregolarità Non Sanabili: Non sono in alcun modo sanabili le omissioni o difformità che non consentano di individuare il soggetto proponente, la mancanza assoluta della firma digitale sul modulo di domanda o sulla documentazione allegata, la presentazione della candidatura oltre la scadenza del termine perentorio di cui all'Articolo 8, nonché l'assenza sostanziale ed insanabile dei requisiti generali di partecipazione di cui agli Articoli 7 e 7-bis.  </w:t>
      </w:r>
    </w:p>
    <w:p>
      <w:pPr>
        <w:pStyle w:val="Normal"/>
        <w:numPr>
          <w:ilvl w:val="0"/>
          <w:numId w:val="4"/>
        </w:numPr>
        <w:tabs>
          <w:tab w:val="clear" w:pos="708"/>
          <w:tab w:val="left" w:pos="3570" w:leader="none"/>
        </w:tabs>
        <w:spacing w:lineRule="auto" w:line="240" w:before="0" w:after="113"/>
        <w:jc w:val="both"/>
        <w:rPr/>
      </w:pPr>
      <w:r>
        <w:rPr/>
        <w:t>Mancata Regolarizzazione: Qualora il soggetto interessato non provveda alla regolarizzazione o all'integrazione documentale richiesta entro il termine perentorio assegnato, l'istanza verrà dichiarata improcedibile con conseguente esclusione della candidatura dalla fase di valutazione.</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b/>
          <w:bCs/>
          <w:sz w:val="24"/>
          <w:szCs w:val="24"/>
        </w:rPr>
      </w:pPr>
      <w:r>
        <w:rPr>
          <w:b/>
          <w:bCs/>
          <w:sz w:val="24"/>
          <w:szCs w:val="24"/>
        </w:rPr>
        <w:t>ART. 9 - PROCEDURA DI VALUTAZIONE E FORMALIZZAZIONE DELLA COLLABORAZIONE</w:t>
      </w:r>
    </w:p>
    <w:p>
      <w:pPr>
        <w:pStyle w:val="Normal"/>
        <w:tabs>
          <w:tab w:val="clear" w:pos="708"/>
          <w:tab w:val="left" w:pos="3570" w:leader="none"/>
        </w:tabs>
        <w:spacing w:lineRule="auto" w:line="240" w:before="0" w:after="113"/>
        <w:jc w:val="both"/>
        <w:rPr/>
      </w:pPr>
      <w:r>
        <w:rPr/>
        <w:t>Le istanze pervenute ai sensi del presente Avviso Pubblico saranno esaminate dai competenti uffici del Comune di Lecce, che si stanno occupando della fase istruttoria della candidatura presso la FIGC della città ad ospitare i Campionati Europei UEFA EURO 2032.</w:t>
      </w:r>
    </w:p>
    <w:p>
      <w:pPr>
        <w:pStyle w:val="Normal"/>
        <w:tabs>
          <w:tab w:val="clear" w:pos="708"/>
          <w:tab w:val="left" w:pos="3570" w:leader="none"/>
        </w:tabs>
        <w:spacing w:lineRule="auto" w:line="240" w:before="0" w:after="113"/>
        <w:jc w:val="both"/>
        <w:rPr/>
      </w:pPr>
      <w:r>
        <w:rPr/>
        <w:t>In esito all’istruttoria, l’Amministrazione contatterà, ai recapiti forniti sul modulo di istanza, le strutture reputate maggiormente rispondenti ai requisiti richiesti da UEFA. A tal fine, verrà individuato un numero di strutture come esposto all’Articolo 4 del presente Avviso. Con rimando allo stesso Articolo, si rappresenta la possibilità di valutare la proposizione di due strutture congiuntamente, qualora non fosse disponibile una singola struttura in grado di soddisfare un numero sufficiente di requisiti e due strutture risultassero invece complementari, fatti salvi eventuali dinieghi da parte della FIGC.</w:t>
      </w:r>
    </w:p>
    <w:p>
      <w:pPr>
        <w:pStyle w:val="Normal"/>
        <w:tabs>
          <w:tab w:val="clear" w:pos="708"/>
          <w:tab w:val="left" w:pos="3570" w:leader="none"/>
        </w:tabs>
        <w:spacing w:lineRule="auto" w:line="240" w:before="0" w:after="113"/>
        <w:jc w:val="both"/>
        <w:rPr/>
      </w:pPr>
      <w:r>
        <w:rPr/>
        <w:t>La valutazione non prevederà l’attribuzione di punteggi, ma analizzerà le diverse soluzioni in maniera organica, al solo fine di massimizzare i requisiti soddisfatti complessivamente dalla candidatura della città.</w:t>
      </w:r>
    </w:p>
    <w:p>
      <w:pPr>
        <w:pStyle w:val="Normal"/>
        <w:tabs>
          <w:tab w:val="clear" w:pos="708"/>
          <w:tab w:val="left" w:pos="3570" w:leader="none"/>
        </w:tabs>
        <w:spacing w:lineRule="auto" w:line="240" w:before="171" w:after="284"/>
        <w:jc w:val="both"/>
        <w:rPr/>
      </w:pPr>
      <w:r>
        <w:rPr/>
      </w:r>
    </w:p>
    <w:p>
      <w:pPr>
        <w:pStyle w:val="Normal"/>
        <w:tabs>
          <w:tab w:val="clear" w:pos="708"/>
          <w:tab w:val="left" w:pos="3570" w:leader="none"/>
        </w:tabs>
        <w:spacing w:lineRule="auto" w:line="240" w:before="0" w:after="113"/>
        <w:jc w:val="both"/>
        <w:rPr>
          <w:b/>
          <w:bCs/>
          <w:sz w:val="24"/>
          <w:szCs w:val="24"/>
        </w:rPr>
      </w:pPr>
      <w:r>
        <w:rPr>
          <w:b/>
          <w:bCs/>
          <w:sz w:val="24"/>
          <w:szCs w:val="24"/>
        </w:rPr>
        <w:t>ART. 10 - DISPOSIZIONI FINALI E RESPONSABILE DEL PROGETTO</w:t>
      </w:r>
    </w:p>
    <w:p>
      <w:pPr>
        <w:pStyle w:val="Normal"/>
        <w:numPr>
          <w:ilvl w:val="0"/>
          <w:numId w:val="2"/>
        </w:numPr>
        <w:tabs>
          <w:tab w:val="clear" w:pos="708"/>
          <w:tab w:val="left" w:pos="3570" w:leader="none"/>
        </w:tabs>
        <w:spacing w:lineRule="auto" w:line="240" w:before="0" w:after="113"/>
        <w:jc w:val="both"/>
        <w:rPr/>
      </w:pPr>
      <w:r>
        <w:rPr>
          <w:b/>
          <w:bCs/>
        </w:rPr>
        <w:t xml:space="preserve">Obblighi in materia di trasparenza: </w:t>
      </w:r>
      <w:r>
        <w:rPr/>
        <w:t>agli atti ed ai provvedimenti relativi alla presente procedura si applicano, in quanto compatibili, le disposizioni in materia di trasparenza, previste dalla disciplina vigente.</w:t>
      </w:r>
    </w:p>
    <w:p>
      <w:pPr>
        <w:pStyle w:val="Normal"/>
        <w:numPr>
          <w:ilvl w:val="0"/>
          <w:numId w:val="2"/>
        </w:numPr>
        <w:tabs>
          <w:tab w:val="clear" w:pos="708"/>
          <w:tab w:val="left" w:pos="3570" w:leader="none"/>
        </w:tabs>
        <w:spacing w:lineRule="auto" w:line="240" w:before="0" w:after="113"/>
        <w:jc w:val="both"/>
        <w:rPr/>
      </w:pPr>
      <w:r>
        <w:rPr>
          <w:b/>
          <w:bCs/>
        </w:rPr>
        <w:t>Comunicazioni:</w:t>
      </w:r>
      <w:r>
        <w:rPr/>
        <w:t xml:space="preserve"> le comunicazioni avverranno mediante invio di PEC all’indirizzo indicato nella domanda medesima.</w:t>
      </w:r>
    </w:p>
    <w:p>
      <w:pPr>
        <w:pStyle w:val="Normal"/>
        <w:numPr>
          <w:ilvl w:val="0"/>
          <w:numId w:val="2"/>
        </w:numPr>
        <w:tabs>
          <w:tab w:val="clear" w:pos="708"/>
          <w:tab w:val="left" w:pos="3570" w:leader="none"/>
        </w:tabs>
        <w:spacing w:lineRule="auto" w:line="240" w:before="0" w:after="113"/>
        <w:jc w:val="both"/>
        <w:rPr/>
      </w:pPr>
      <w:r>
        <w:rPr>
          <w:b/>
          <w:bCs/>
        </w:rPr>
        <w:t>Responsabile del progetto:</w:t>
      </w:r>
      <w:r>
        <w:rPr/>
        <w:t xml:space="preserve"> il Responsabile Unico del Progetto, ai sensi dell’art. 5 della L. 241/90 e s.m.i., è individuato nel Dirigente Arch. Fernando Bonocuore. Email: </w:t>
      </w:r>
      <w:r>
        <w:rPr>
          <w:rStyle w:val="Hyperlink"/>
        </w:rPr>
        <w:t>f.bonocuore</w:t>
      </w:r>
      <w:hyperlink r:id="rId2">
        <w:r>
          <w:rPr>
            <w:rStyle w:val="Hyperlink"/>
          </w:rPr>
          <w:t>@comune.lecce.it</w:t>
        </w:r>
      </w:hyperlink>
      <w:r>
        <w:rPr>
          <w:shd w:fill="FFFF00" w:val="clear"/>
        </w:rPr>
        <w:t xml:space="preserve"> </w:t>
      </w:r>
    </w:p>
    <w:p>
      <w:pPr>
        <w:pStyle w:val="Normal"/>
        <w:numPr>
          <w:ilvl w:val="0"/>
          <w:numId w:val="2"/>
        </w:numPr>
        <w:tabs>
          <w:tab w:val="clear" w:pos="708"/>
          <w:tab w:val="left" w:pos="3570" w:leader="none"/>
        </w:tabs>
        <w:spacing w:lineRule="auto" w:line="240" w:before="0" w:after="113"/>
        <w:jc w:val="both"/>
        <w:rPr/>
      </w:pPr>
      <w:r>
        <w:rPr>
          <w:b/>
          <w:bCs/>
        </w:rPr>
        <w:t>Per eventuali richiesta di chiarimenti:</w:t>
      </w:r>
      <w:r>
        <w:rPr/>
        <w:t xml:space="preserve"> scrivere all’indirizzo </w:t>
      </w:r>
      <w:r>
        <w:rPr>
          <w:rStyle w:val="Hyperlink"/>
        </w:rPr>
        <w:t>ufficioprogrammazionestrategica@comune.lecce.it</w:t>
      </w:r>
    </w:p>
    <w:p>
      <w:pPr>
        <w:pStyle w:val="Normal"/>
        <w:tabs>
          <w:tab w:val="clear" w:pos="708"/>
          <w:tab w:val="left" w:pos="3570" w:leader="none"/>
        </w:tabs>
        <w:spacing w:lineRule="auto" w:line="240" w:before="0" w:after="113"/>
        <w:ind w:start="720"/>
        <w:jc w:val="both"/>
        <w:rPr/>
      </w:pPr>
      <w:r>
        <w:rPr/>
        <w:t xml:space="preserve">Il presente avviso sarà pubblicato sul sito internet della Città di Lecce alla pagina </w:t>
      </w:r>
      <w:hyperlink r:id="rId3">
        <w:r>
          <w:rPr>
            <w:rStyle w:val="Hyperlink"/>
          </w:rPr>
          <w:t>http://www.comune.lecce.it</w:t>
        </w:r>
      </w:hyperlink>
    </w:p>
    <w:p>
      <w:pPr>
        <w:pStyle w:val="Normal"/>
        <w:tabs>
          <w:tab w:val="clear" w:pos="708"/>
          <w:tab w:val="left" w:pos="3570" w:leader="none"/>
        </w:tabs>
        <w:spacing w:lineRule="auto" w:line="240" w:before="0" w:after="113"/>
        <w:ind w:start="708"/>
        <w:jc w:val="both"/>
        <w:rPr>
          <w:shd w:fill="FFFF00" w:val="clear"/>
        </w:rPr>
      </w:pPr>
      <w:r>
        <w:rPr>
          <w:shd w:fill="FFFF00" w:val="clear"/>
        </w:rPr>
      </w:r>
    </w:p>
    <w:p>
      <w:pPr>
        <w:pStyle w:val="Normal"/>
        <w:tabs>
          <w:tab w:val="clear" w:pos="708"/>
          <w:tab w:val="left" w:pos="3570" w:leader="none"/>
        </w:tabs>
        <w:spacing w:lineRule="auto" w:line="240" w:before="0" w:after="113"/>
        <w:jc w:val="both"/>
        <w:rPr>
          <w:shd w:fill="FFFF00" w:val="clear"/>
        </w:rPr>
      </w:pPr>
      <w:r>
        <w:rPr>
          <w:shd w:fill="FFFF00" w:val="clear"/>
        </w:rPr>
      </w:r>
    </w:p>
    <w:p>
      <w:pPr>
        <w:pStyle w:val="Normal"/>
        <w:tabs>
          <w:tab w:val="clear" w:pos="708"/>
          <w:tab w:val="left" w:pos="3570" w:leader="none"/>
        </w:tabs>
        <w:spacing w:lineRule="auto" w:line="240" w:before="0" w:after="113"/>
        <w:jc w:val="both"/>
        <w:rPr>
          <w:b/>
          <w:bCs/>
          <w:sz w:val="24"/>
          <w:szCs w:val="24"/>
        </w:rPr>
      </w:pPr>
      <w:r>
        <w:rPr>
          <w:b/>
          <w:bCs/>
          <w:sz w:val="24"/>
          <w:szCs w:val="24"/>
        </w:rPr>
      </w:r>
    </w:p>
    <w:p>
      <w:pPr>
        <w:pStyle w:val="Normal"/>
        <w:tabs>
          <w:tab w:val="clear" w:pos="708"/>
          <w:tab w:val="left" w:pos="3570" w:leader="none"/>
        </w:tabs>
        <w:spacing w:lineRule="auto" w:line="240" w:before="0" w:after="113"/>
        <w:jc w:val="both"/>
        <w:rPr>
          <w:b/>
          <w:bCs/>
          <w:sz w:val="24"/>
          <w:szCs w:val="24"/>
        </w:rPr>
      </w:pPr>
      <w:r>
        <w:rPr>
          <w:b/>
          <w:bCs/>
          <w:sz w:val="24"/>
          <w:szCs w:val="24"/>
        </w:rPr>
        <w:t>ART. 11 - TRATTAMENTO DEI DATI PERSONALI</w:t>
      </w:r>
    </w:p>
    <w:p>
      <w:pPr>
        <w:pStyle w:val="Normal"/>
        <w:tabs>
          <w:tab w:val="clear" w:pos="708"/>
          <w:tab w:val="left" w:pos="3570" w:leader="none"/>
        </w:tabs>
        <w:spacing w:lineRule="auto" w:line="240" w:before="0" w:after="113"/>
        <w:jc w:val="both"/>
        <w:rPr/>
      </w:pPr>
      <w:r>
        <w:rPr/>
        <w:t>Il trattamento dei dati personali eventualmente raccolti in relazione alla attuazione delle azioni previste dalle proposte progettuali oggetto del presente Avviso avverrà nel rispetto di quanto disposto dal Regolamento (UE) 2016/679 del Parlamento europeo e del Consiglio del 27 aprile 2016 in materia di protezione dei dati personali.</w:t>
      </w:r>
    </w:p>
    <w:p>
      <w:pPr>
        <w:pStyle w:val="Normal"/>
        <w:tabs>
          <w:tab w:val="clear" w:pos="708"/>
          <w:tab w:val="left" w:pos="3570" w:leader="none"/>
        </w:tabs>
        <w:spacing w:lineRule="auto" w:line="240" w:before="0" w:after="113"/>
        <w:jc w:val="both"/>
        <w:rPr/>
      </w:pPr>
      <w:r>
        <w:rPr/>
        <w:t>Nella fattispecie, si informa che il trattamento dei dati personali è finalizzato unicamente allo svolgimento della presente procedura ad evidenza pubblica ed eventuale successiva collaborazione; la base giuridica risiede nel rispetto degli obblighi di legge e nell’esecuzione di compiti di interesse pubblico.</w:t>
      </w:r>
    </w:p>
    <w:p>
      <w:pPr>
        <w:pStyle w:val="Normal"/>
        <w:tabs>
          <w:tab w:val="clear" w:pos="708"/>
          <w:tab w:val="left" w:pos="3570" w:leader="none"/>
        </w:tabs>
        <w:spacing w:lineRule="auto" w:line="240" w:before="0" w:after="113"/>
        <w:jc w:val="both"/>
        <w:rPr/>
      </w:pPr>
      <w:r>
        <w:rPr/>
        <w:t>Il trattamento sarà effettuato da soggetti appositamente autorizzati, con l'utilizzo di procedure anche informatizzate.</w:t>
      </w:r>
    </w:p>
    <w:p>
      <w:pPr>
        <w:pStyle w:val="Normal"/>
        <w:tabs>
          <w:tab w:val="clear" w:pos="708"/>
          <w:tab w:val="left" w:pos="3570" w:leader="none"/>
        </w:tabs>
        <w:spacing w:lineRule="auto" w:line="240" w:before="0" w:after="113"/>
        <w:jc w:val="both"/>
        <w:rPr/>
      </w:pPr>
      <w:r>
        <w:rPr/>
        <w:t>Il conferimento dei dati è necessario per la partecipazione alla procedura; il mancato conferimento comporterà l’esclusione dalla partecipazione al presente avviso pubblico.</w:t>
      </w:r>
    </w:p>
    <w:p>
      <w:pPr>
        <w:pStyle w:val="Normal"/>
        <w:tabs>
          <w:tab w:val="clear" w:pos="708"/>
          <w:tab w:val="left" w:pos="3570" w:leader="none"/>
        </w:tabs>
        <w:spacing w:lineRule="auto" w:line="240" w:before="0" w:after="113"/>
        <w:jc w:val="both"/>
        <w:rPr/>
      </w:pPr>
      <w:r>
        <w:rPr/>
        <w:t>Al termine della procedura i dati saranno conservati nell’archivio del Comune (secondo la specifica normativa di settore che disciplina la conservazione dei documenti amministrativi) e ne sarà consentito l’accesso secondo le disposizioni vigenti in materia. Fatto salvo il rispetto della normativa sul diritto di accesso, i dati personali non saranno comunicati a terzi se non in base a un obbligo di legge o in relazione alla verifica della veridicità di quanto dichiarato in sede di presentazione dell’istanza.</w:t>
      </w:r>
    </w:p>
    <w:p>
      <w:pPr>
        <w:pStyle w:val="Normal"/>
        <w:tabs>
          <w:tab w:val="clear" w:pos="708"/>
          <w:tab w:val="left" w:pos="3570" w:leader="none"/>
        </w:tabs>
        <w:spacing w:lineRule="auto" w:line="240" w:before="0" w:after="113"/>
        <w:jc w:val="both"/>
        <w:rPr/>
      </w:pPr>
      <w:r>
        <w:rPr/>
        <w:t>Ai partecipanti sono riconosciuti i diritti di cui agli Artt. 15-22 del Regolamento UE 2016/679, in particolare, il diritto di accedere ai propri dati personali, di chiederne la rettifica, l’aggiornamento e la cancellazione, se incompleti, erronei o raccolti in violazione della legge, nonché di opporsi al loro trattamento per motivi legittimi rivolgendo le richieste al Responsabile della Protezione dei Dati all’indirizzo: gloria.cuoghi@gmail.com – PEC: gloria.cuoghi@ordineavvocatiferrara.eu</w:t>
      </w:r>
    </w:p>
    <w:p>
      <w:pPr>
        <w:pStyle w:val="Normal"/>
        <w:tabs>
          <w:tab w:val="clear" w:pos="708"/>
          <w:tab w:val="left" w:pos="3570" w:leader="none"/>
        </w:tabs>
        <w:spacing w:lineRule="auto" w:line="240" w:before="0" w:after="113"/>
        <w:jc w:val="both"/>
        <w:rPr/>
      </w:pPr>
      <w:r>
        <w:rPr/>
        <w:t>Titolare del trattamento è il Comune di Lecce, con sede in con sede in Via Rubichi, n. 16 - 73100 Lecce (LE), C.F. 80008510754 - PEC: protocollo@pec.comune.lecce.it - Telefono: 0832.682111.</w:t>
      </w:r>
    </w:p>
    <w:p>
      <w:pPr>
        <w:pStyle w:val="Normal"/>
        <w:tabs>
          <w:tab w:val="clear" w:pos="708"/>
          <w:tab w:val="left" w:pos="3570" w:leader="none"/>
        </w:tabs>
        <w:spacing w:lineRule="auto" w:line="240" w:before="0" w:after="113"/>
        <w:jc w:val="both"/>
        <w:rPr/>
      </w:pPr>
      <w:r>
        <w:rPr/>
        <w:t xml:space="preserve">Il partecipante è tenuto ad assicurare la riservatezza delle informazioni, dei documenti e degli atti amministrativi, dei quali venga a conoscenza durante la partecipazione alla procedura e, successivamente, durante l’eventuale esecuzione della prestazione, impegnandosi a rispettare rigorosamente tutte le norme relative all’applicazione del Regolamento (UE) 2016/679 del Parlamento Europeo e del Consiglio e delle norme del D.Lgs. 196/2003 (e s.m.i.) eventualmente applicabili. </w:t>
      </w:r>
    </w:p>
    <w:p>
      <w:pPr>
        <w:pStyle w:val="Normal"/>
        <w:tabs>
          <w:tab w:val="clear" w:pos="708"/>
          <w:tab w:val="left" w:pos="3570" w:leader="none"/>
        </w:tabs>
        <w:spacing w:lineRule="auto" w:line="240" w:before="0" w:after="113"/>
        <w:jc w:val="both"/>
        <w:rPr/>
      </w:pPr>
      <w:r>
        <w:rPr/>
        <w:t>Il Comune di Lecce e i soggetti individuati, per quanto sopra evidenziato, potranno ulteriormente specificare e regolamentare, con separato e successivo atto, i rapporti in materia di trattamento dati personali all’interno dello specifico accordo di collaborazione da sottoscrivere.</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b/>
          <w:bCs/>
          <w:sz w:val="24"/>
          <w:szCs w:val="24"/>
        </w:rPr>
      </w:pPr>
      <w:r>
        <w:rPr>
          <w:b/>
          <w:bCs/>
          <w:sz w:val="24"/>
          <w:szCs w:val="24"/>
        </w:rPr>
        <w:t xml:space="preserve">ART. 12 - RINVIO </w:t>
      </w:r>
    </w:p>
    <w:p>
      <w:pPr>
        <w:pStyle w:val="Normal"/>
        <w:tabs>
          <w:tab w:val="clear" w:pos="708"/>
          <w:tab w:val="left" w:pos="3570" w:leader="none"/>
        </w:tabs>
        <w:spacing w:lineRule="auto" w:line="240" w:before="0" w:after="113"/>
        <w:jc w:val="both"/>
        <w:rPr/>
      </w:pPr>
      <w:r>
        <w:rPr/>
        <w:t xml:space="preserve">Per quanto non espressamente previsto dal presente documento si rinvia alle disposizioni normative e regolamentate in materia. </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t xml:space="preserve"> </w:t>
      </w:r>
      <w:r>
        <w:rPr>
          <w:b/>
          <w:bCs/>
          <w:sz w:val="24"/>
          <w:szCs w:val="24"/>
        </w:rPr>
        <w:t>ART. 13 - FORO COMPETENTE</w:t>
      </w:r>
    </w:p>
    <w:p>
      <w:pPr>
        <w:pStyle w:val="Normal"/>
        <w:tabs>
          <w:tab w:val="clear" w:pos="708"/>
          <w:tab w:val="left" w:pos="3570" w:leader="none"/>
        </w:tabs>
        <w:spacing w:lineRule="auto" w:line="240" w:before="0" w:after="113"/>
        <w:jc w:val="both"/>
        <w:rPr/>
      </w:pPr>
      <w:r>
        <w:rPr/>
        <w:t>Ogni eventuale controversia derivante o correlata al presente avviso viene deferita in via esclusiva al Foro di Lecce.</w:t>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jc w:val="both"/>
        <w:rPr/>
      </w:pPr>
      <w:r>
        <w:rPr/>
      </w:r>
    </w:p>
    <w:p>
      <w:pPr>
        <w:pStyle w:val="Normal"/>
        <w:tabs>
          <w:tab w:val="clear" w:pos="708"/>
          <w:tab w:val="left" w:pos="3570" w:leader="none"/>
        </w:tabs>
        <w:spacing w:lineRule="auto" w:line="240" w:before="0" w:after="113"/>
        <w:rPr>
          <w:b/>
          <w:bCs/>
          <w:sz w:val="24"/>
          <w:szCs w:val="24"/>
        </w:rPr>
      </w:pPr>
      <w:r>
        <w:rPr>
          <w:sz w:val="24"/>
          <w:szCs w:val="24"/>
        </w:rPr>
        <w:t>Lecce, 20/08/2026</w:t>
      </w:r>
      <w:r>
        <w:rPr>
          <w:b/>
          <w:bCs/>
          <w:sz w:val="24"/>
          <w:szCs w:val="24"/>
        </w:rPr>
        <w:tab/>
        <w:tab/>
        <w:tab/>
        <w:tab/>
        <w:tab/>
        <w:t>IL DIRIGENTE</w:t>
      </w:r>
    </w:p>
    <w:p>
      <w:pPr>
        <w:pStyle w:val="Normal"/>
        <w:tabs>
          <w:tab w:val="clear" w:pos="708"/>
          <w:tab w:val="left" w:pos="3570" w:leader="none"/>
        </w:tabs>
        <w:spacing w:lineRule="auto" w:line="240" w:before="0" w:after="113"/>
        <w:jc w:val="center"/>
        <w:rPr>
          <w:b/>
          <w:bCs/>
          <w:sz w:val="24"/>
          <w:szCs w:val="24"/>
        </w:rPr>
      </w:pPr>
      <w:r>
        <w:rPr>
          <w:b/>
          <w:bCs/>
          <w:sz w:val="24"/>
          <w:szCs w:val="24"/>
        </w:rPr>
        <w:tab/>
        <w:tab/>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center"/>
        <w:rPr>
          <w:b/>
          <w:bCs/>
          <w:sz w:val="24"/>
          <w:szCs w:val="24"/>
        </w:rPr>
      </w:pPr>
      <w:r>
        <w:rPr>
          <w:b/>
          <w:bCs/>
          <w:sz w:val="24"/>
          <w:szCs w:val="24"/>
        </w:rPr>
      </w:r>
    </w:p>
    <w:p>
      <w:pPr>
        <w:pStyle w:val="Normal"/>
        <w:tabs>
          <w:tab w:val="clear" w:pos="708"/>
          <w:tab w:val="left" w:pos="3570" w:leader="none"/>
        </w:tabs>
        <w:spacing w:lineRule="auto" w:line="240" w:before="0" w:after="113"/>
        <w:jc w:val="both"/>
        <w:rPr>
          <w:u w:val="single"/>
        </w:rPr>
      </w:pPr>
      <w:r>
        <w:rPr>
          <w:u w:val="single"/>
        </w:rPr>
        <w:t>Elenco allegati:</w:t>
      </w:r>
    </w:p>
    <w:p>
      <w:pPr>
        <w:pStyle w:val="Normal"/>
        <w:tabs>
          <w:tab w:val="clear" w:pos="708"/>
          <w:tab w:val="left" w:pos="3570" w:leader="none"/>
        </w:tabs>
        <w:spacing w:lineRule="auto" w:line="240" w:before="0" w:after="113"/>
        <w:jc w:val="both"/>
        <w:rPr/>
      </w:pPr>
      <w:r>
        <w:rPr/>
        <w:t>Allegato 1: Istanza di partecipazione – Hotel</w:t>
      </w:r>
    </w:p>
    <w:p>
      <w:pPr>
        <w:pStyle w:val="Normal"/>
        <w:tabs>
          <w:tab w:val="clear" w:pos="708"/>
          <w:tab w:val="left" w:pos="3570" w:leader="none"/>
        </w:tabs>
        <w:spacing w:lineRule="auto" w:line="240" w:before="0" w:after="113"/>
        <w:jc w:val="both"/>
        <w:rPr/>
      </w:pPr>
      <w:r>
        <w:rPr/>
        <w:t>Allegato 2: Istanza di partecipazione – Centro d’allenamento</w:t>
      </w:r>
    </w:p>
    <w:sectPr>
      <w:headerReference w:type="even" r:id="rId4"/>
      <w:headerReference w:type="default" r:id="rId5"/>
      <w:headerReference w:type="first" r:id="rId6"/>
      <w:type w:val="nextPage"/>
      <w:pgSz w:w="11906" w:h="16838"/>
      <w:pgMar w:left="1134" w:right="1134"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Arial Narrow">
    <w:charset w:val="00" w:characterSet="windows-1252"/>
    <w:family w:val="swiss"/>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drawing>
        <wp:anchor distT="0" distB="0" distL="0" distR="0" simplePos="0" relativeHeight="12" behindDoc="1" locked="0" layoutInCell="0" allowOverlap="1">
          <wp:simplePos x="0" y="0"/>
          <wp:positionH relativeFrom="column">
            <wp:align>center</wp:align>
          </wp:positionH>
          <wp:positionV relativeFrom="paragraph">
            <wp:posOffset>26035</wp:posOffset>
          </wp:positionV>
          <wp:extent cx="784860" cy="927100"/>
          <wp:effectExtent l="0" t="0" r="0" b="0"/>
          <wp:wrapSquare wrapText="larges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rcRect l="0" t="0" r="0" b="15596"/>
                  <a:stretch>
                    <a:fillRect/>
                  </a:stretch>
                </pic:blipFill>
                <pic:spPr bwMode="auto">
                  <a:xfrm>
                    <a:off x="0" y="0"/>
                    <a:ext cx="784860" cy="927100"/>
                  </a:xfrm>
                  <a:prstGeom prst="rect">
                    <a:avLst/>
                  </a:prstGeom>
                  <a:noFill/>
                </pic:spPr>
              </pic:pic>
            </a:graphicData>
          </a:graphic>
        </wp:anchor>
      </w:drawing>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t>CDR 1_Sviluppo Organizzativo e Gestione Risorse Umane, MUST, Servizi Museali, Patrimonio, Valorizzazione Monumentale, Casa, Attività Economiche e Produttive, Servizi alle Imprese, Agricoltura, Servizi per lo sport</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drawing>
        <wp:anchor distT="0" distB="0" distL="0" distR="0" simplePos="0" relativeHeight="12" behindDoc="1" locked="0" layoutInCell="0" allowOverlap="1">
          <wp:simplePos x="0" y="0"/>
          <wp:positionH relativeFrom="column">
            <wp:align>center</wp:align>
          </wp:positionH>
          <wp:positionV relativeFrom="paragraph">
            <wp:posOffset>26035</wp:posOffset>
          </wp:positionV>
          <wp:extent cx="784860" cy="927100"/>
          <wp:effectExtent l="0" t="0" r="0" b="0"/>
          <wp:wrapSquare wrapText="larges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rcRect l="0" t="0" r="0" b="15596"/>
                  <a:stretch>
                    <a:fillRect/>
                  </a:stretch>
                </pic:blipFill>
                <pic:spPr bwMode="auto">
                  <a:xfrm>
                    <a:off x="0" y="0"/>
                    <a:ext cx="784860" cy="927100"/>
                  </a:xfrm>
                  <a:prstGeom prst="rect">
                    <a:avLst/>
                  </a:prstGeom>
                  <a:noFill/>
                </pic:spPr>
              </pic:pic>
            </a:graphicData>
          </a:graphic>
        </wp:anchor>
      </w:drawing>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r>
  </w:p>
  <w:p>
    <w:pPr>
      <w:pStyle w:val="Normal"/>
      <w:jc w:val="center"/>
      <w:rPr>
        <w:rFonts w:ascii="Arial Narrow" w:hAnsi="Arial Narrow"/>
        <w:b/>
        <w:sz w:val="20"/>
        <w:szCs w:val="20"/>
      </w:rPr>
    </w:pPr>
    <w:r>
      <w:rPr>
        <w:rFonts w:ascii="Arial Narrow" w:hAnsi="Arial Narrow"/>
        <w:b/>
        <w:sz w:val="20"/>
        <w:szCs w:val="20"/>
      </w:rPr>
      <w:t>CDR 1_Sviluppo Organizzativo e Gestione Risorse Umane, MUST, Servizi Museali, Patrimonio, Valorizzazione Monumentale, Casa, Attività Economiche e Produttive, Servizi alle Imprese, Agricoltura, Servizi per lo sport</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10"/>
  <w:defaultTabStop w:val="708"/>
  <w:autoHyphenation w:val="true"/>
  <w:hyphenationZone w:val="0"/>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lineRule="auto" w:line="276" w:before="0" w:after="200"/>
      <w:jc w:val="start"/>
    </w:pPr>
    <w:rPr>
      <w:rFonts w:ascii="Calibri" w:hAnsi="Calibri" w:eastAsia="Calibri" w:cs="Tahoma"/>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Pr>
      <w:color w:themeColor="hyperlink" w:val="0000FF"/>
      <w:u w:val="single"/>
    </w:rPr>
  </w:style>
  <w:style w:type="character" w:styleId="IntestazioneCarattere" w:customStyle="1">
    <w:name w:val="Intestazione Carattere"/>
    <w:basedOn w:val="DefaultParagraphFont"/>
    <w:qFormat/>
    <w:rPr/>
  </w:style>
  <w:style w:type="character" w:styleId="PidipaginaCarattere" w:customStyle="1">
    <w:name w:val="Piè di pagina Carattere"/>
    <w:basedOn w:val="DefaultParagraphFont"/>
    <w:qFormat/>
    <w:rPr/>
  </w:style>
  <w:style w:type="character" w:styleId="Punti" w:customStyle="1">
    <w:name w:val="Punti"/>
    <w:qFormat/>
    <w:rPr>
      <w:rFonts w:ascii="OpenSymbol" w:hAnsi="OpenSymbol" w:eastAsia="OpenSymbol" w:cs="OpenSymbol"/>
    </w:rPr>
  </w:style>
  <w:style w:type="character" w:styleId="Puntiuser" w:customStyle="1">
    <w:name w:val="Punti (user)"/>
    <w:qFormat/>
    <w:rPr>
      <w:rFonts w:ascii="OpenSymbol" w:hAnsi="OpenSymbol" w:eastAsia="OpenSymbol" w:cs="OpenSymbol"/>
    </w:rPr>
  </w:style>
  <w:style w:type="character" w:styleId="Caratteridinumerazioneuser" w:customStyle="1">
    <w:name w:val="Caratteri di numerazione (user)"/>
    <w:qFormat/>
    <w:rPr/>
  </w:style>
  <w:style w:type="paragraph" w:styleId="Titolo" w:customStyle="1">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Default" w:customStyle="1">
    <w:name w:val="Default"/>
    <w:qFormat/>
    <w:pPr>
      <w:widowControl/>
      <w:suppressAutoHyphens w:val="true"/>
      <w:overflowPunct w:val="true"/>
      <w:bidi w:val="0"/>
      <w:spacing w:before="0" w:after="0"/>
      <w:jc w:val="start"/>
    </w:pPr>
    <w:rPr>
      <w:rFonts w:ascii="Times New Roman" w:hAnsi="Times New Roman" w:cs="Times New Roman" w:eastAsia="Calibri"/>
      <w:color w:val="000000"/>
      <w:kern w:val="0"/>
      <w:sz w:val="24"/>
      <w:szCs w:val="24"/>
      <w:lang w:val="it-IT" w:eastAsia="en-US" w:bidi="ar-SA"/>
    </w:rPr>
  </w:style>
  <w:style w:type="paragraph" w:styleId="Intestazioneepidipagina" w:customStyle="1">
    <w:name w:val="Intestazione e piè di pagina"/>
    <w:basedOn w:val="Normal"/>
    <w:qFormat/>
    <w:pPr/>
    <w:rPr/>
  </w:style>
  <w:style w:type="paragraph" w:styleId="Intestazioneepidipaginauser" w:customStyle="1">
    <w:name w:val="Intestazione e piè di pagina (user)"/>
    <w:basedOn w:val="Normal"/>
    <w:qFormat/>
    <w:pPr/>
    <w:rPr/>
  </w:style>
  <w:style w:type="paragraph" w:styleId="Header">
    <w:name w:val="header"/>
    <w:basedOn w:val="Normal"/>
    <w:link w:val="IntestazioneCaratter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pPr>
      <w:tabs>
        <w:tab w:val="clear" w:pos="708"/>
        <w:tab w:val="center" w:pos="4819" w:leader="none"/>
        <w:tab w:val="right" w:pos="9638" w:leader="none"/>
      </w:tabs>
      <w:spacing w:lineRule="auto" w:line="240" w:before="0" w:after="0"/>
    </w:pPr>
    <w:rPr/>
  </w:style>
  <w:style w:type="paragraph" w:styleId="Contenutotabella" w:customStyle="1">
    <w:name w:val="Contenuto tabella"/>
    <w:basedOn w:val="Normal"/>
    <w:qFormat/>
    <w:pPr>
      <w:widowControl w:val="false"/>
      <w:suppressLineNumbers/>
    </w:pPr>
    <w:rPr/>
  </w:style>
  <w:style w:type="paragraph" w:styleId="Contenutotabellauser" w:customStyle="1">
    <w:name w:val="Contenuto tabella (user)"/>
    <w:basedOn w:val="Normal"/>
    <w:qFormat/>
    <w:pPr>
      <w:widowControl w:val="false"/>
      <w:suppressLineNumbers/>
    </w:pPr>
    <w:rPr/>
  </w:style>
  <w:style w:type="paragraph" w:styleId="Titolotabellauser" w:customStyle="1">
    <w:name w:val="Titolo tabella (user)"/>
    <w:basedOn w:val="Contenutotabellauser"/>
    <w:qFormat/>
    <w:pPr>
      <w:jc w:val="center"/>
    </w:pPr>
    <w:rPr>
      <w:b/>
      <w:bCs/>
    </w:rPr>
  </w:style>
  <w:style w:type="numbering" w:styleId="Nessunelenco" w:customStyle="1">
    <w:name w:val="Nessun elenco"/>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oberta.cappello@comune.lecce.it" TargetMode="External"/><Relationship Id="rId3" Type="http://schemas.openxmlformats.org/officeDocument/2006/relationships/hyperlink" Target="http://www.comune.lecce.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emf"/>
</Relationships>
</file>

<file path=word/_rels/header3.xml.rels><?xml version="1.0" encoding="UTF-8"?>
<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LibreOffice/26.2.5.2$Windows_X86_64 LibreOffice_project/cd7284b4cbbfeb507e630c1aac019f4157393acb</Application>
  <AppVersion>15.0000</AppVersion>
  <Pages>11</Pages>
  <Words>3841</Words>
  <Characters>22943</Characters>
  <CharactersWithSpaces>26531</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2016-07-12T09:50:00Z</dcterms:created>
  <dc:creator>matteo bottazzi</dc:creator>
  <dc:description/>
  <dc:language>it-IT</dc:language>
  <cp:lastModifiedBy/>
  <cp:lastPrinted>2026-08-17T11:23:00Z</cp:lastPrinted>
  <dcterms:modified xsi:type="dcterms:W3CDTF">2026-08-20T13:33:56Z</dcterms:modified>
  <cp:revision>166</cp:revision>
  <dc:subject/>
  <dc:title/>
</cp:coreProperties>
</file>

<file path=docProps/custom.xml><?xml version="1.0" encoding="utf-8"?>
<Properties xmlns="http://schemas.openxmlformats.org/officeDocument/2006/custom-properties" xmlns:vt="http://schemas.openxmlformats.org/officeDocument/2006/docPropsVTypes"/>
</file>